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Pr="001F3EEE" w:rsidR="00E66558" w:rsidRDefault="00C11EB4" w14:paraId="2A7D54B1" w14:textId="28970F27">
      <w:pPr>
        <w:pStyle w:val="Heading1"/>
        <w:rPr>
          <w:sz w:val="22"/>
          <w:szCs w:val="22"/>
        </w:rPr>
      </w:pPr>
      <w:bookmarkStart w:name="_Toc400361362" w:id="0"/>
      <w:bookmarkStart w:name="_Toc443397153" w:id="1"/>
      <w:bookmarkStart w:name="_Toc357771638" w:id="2"/>
      <w:bookmarkStart w:name="_Toc346793416" w:id="3"/>
      <w:bookmarkStart w:name="_Toc328122777" w:id="4"/>
      <w:r w:rsidRPr="001F3EEE">
        <w:rPr>
          <w:b w:val="0"/>
          <w:bCs/>
          <w:noProof/>
          <w:sz w:val="22"/>
          <w:szCs w:val="22"/>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rsidRPr="00D348C0" w:rsidR="00B572C4" w:rsidP="009539E3" w:rsidRDefault="00B572C4" w14:paraId="2EED2A16" w14:textId="4F5B333E">
                            <w:pPr>
                              <w:rPr>
                                <w:bCs/>
                                <w:color w:val="auto"/>
                              </w:rPr>
                            </w:pPr>
                            <w:r w:rsidRPr="00D348C0">
                              <w:rPr>
                                <w:bCs/>
                                <w:color w:val="auto"/>
                              </w:rPr>
                              <w:t xml:space="preserve">Before completing this template, </w:t>
                            </w:r>
                            <w:r w:rsidRPr="00D348C0" w:rsidR="00F63E9E">
                              <w:rPr>
                                <w:bCs/>
                                <w:color w:val="auto"/>
                              </w:rPr>
                              <w:t xml:space="preserve">read </w:t>
                            </w:r>
                            <w:r w:rsidRPr="00D348C0">
                              <w:rPr>
                                <w:bCs/>
                                <w:color w:val="auto"/>
                              </w:rPr>
                              <w:t>the E</w:t>
                            </w:r>
                            <w:r w:rsidRPr="00D348C0" w:rsidR="00D3578A">
                              <w:rPr>
                                <w:bCs/>
                                <w:color w:val="auto"/>
                              </w:rPr>
                              <w:t xml:space="preserve">ducation </w:t>
                            </w:r>
                            <w:r w:rsidRPr="00D348C0">
                              <w:rPr>
                                <w:bCs/>
                                <w:color w:val="auto"/>
                              </w:rPr>
                              <w:t>E</w:t>
                            </w:r>
                            <w:r w:rsidRPr="00D348C0" w:rsidR="00D3578A">
                              <w:rPr>
                                <w:bCs/>
                                <w:color w:val="auto"/>
                              </w:rPr>
                              <w:t xml:space="preserve">ndowment </w:t>
                            </w:r>
                            <w:r w:rsidRPr="00D348C0">
                              <w:rPr>
                                <w:bCs/>
                                <w:color w:val="auto"/>
                              </w:rPr>
                              <w:t>F</w:t>
                            </w:r>
                            <w:r w:rsidRPr="00D348C0" w:rsidR="00D3578A">
                              <w:rPr>
                                <w:bCs/>
                                <w:color w:val="auto"/>
                              </w:rPr>
                              <w:t>oundation’s</w:t>
                            </w:r>
                            <w:r w:rsidRPr="00D348C0">
                              <w:rPr>
                                <w:bCs/>
                                <w:color w:val="auto"/>
                              </w:rPr>
                              <w:t xml:space="preserve"> </w:t>
                            </w:r>
                            <w:hyperlink w:history="1" r:id="rId8">
                              <w:r w:rsidRPr="00FF2000" w:rsidR="00FF2000">
                                <w:rPr>
                                  <w:rStyle w:val="Hyperlink"/>
                                  <w:bCs/>
                                </w:rPr>
                                <w:t>guide to the pupil premium</w:t>
                              </w:r>
                            </w:hyperlink>
                            <w:r w:rsidR="00FF2000">
                              <w:rPr>
                                <w:bCs/>
                                <w:color w:val="auto"/>
                              </w:rPr>
                              <w:t xml:space="preserve"> </w:t>
                            </w:r>
                            <w:r w:rsidRPr="00D348C0">
                              <w:rPr>
                                <w:bCs/>
                                <w:color w:val="auto"/>
                              </w:rPr>
                              <w:t xml:space="preserve">and DfE’s </w:t>
                            </w:r>
                            <w:hyperlink w:history="1" r:id="rId9">
                              <w:r w:rsidRPr="005646FA" w:rsidR="00D3578A">
                                <w:rPr>
                                  <w:rStyle w:val="Hyperlink"/>
                                </w:rPr>
                                <w:t>pupil premium guidanc</w:t>
                              </w:r>
                              <w:r w:rsidRPr="005646FA" w:rsid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rsidRPr="00D348C0" w:rsidR="00993CFC" w:rsidP="00F33DC0" w:rsidRDefault="00993CFC" w14:paraId="67CAB2FC" w14:textId="55CE2AFA">
                            <w:bookmarkStart w:name="_Hlk117600237" w:id="5"/>
                            <w:r w:rsidRPr="00D348C0">
                              <w:t>All schools that receive pupil premium</w:t>
                            </w:r>
                            <w:r w:rsidRPr="00CE7E1B">
                              <w:t xml:space="preserve"> </w:t>
                            </w:r>
                            <w:r w:rsidRPr="00D348C0">
                              <w:t xml:space="preserve">are required to use this template to complete and publish </w:t>
                            </w:r>
                            <w:r w:rsidRPr="00D348C0" w:rsidR="00306CB7">
                              <w:t>a</w:t>
                            </w:r>
                            <w:r w:rsidRPr="00D348C0">
                              <w:t xml:space="preserve"> pupil premium statement on their school website by 31 December</w:t>
                            </w:r>
                            <w:r w:rsidRPr="00D348C0" w:rsidR="00060A62">
                              <w:t xml:space="preserve"> every academic year</w:t>
                            </w:r>
                            <w:r w:rsidRPr="00D348C0">
                              <w:t>.</w:t>
                            </w:r>
                          </w:p>
                          <w:p w:rsidRPr="00D348C0" w:rsidR="00D877D0" w:rsidP="00D877D0" w:rsidRDefault="005750E2" w14:paraId="5C77A3F6" w14:textId="4E035382">
                            <w:r w:rsidRPr="00D348C0">
                              <w:t>If you are starting a new pupil premium strategy plan, use this</w:t>
                            </w:r>
                            <w:r w:rsidRPr="00D348C0" w:rsidR="004A4C45">
                              <w:t xml:space="preserve"> </w:t>
                            </w:r>
                            <w:r w:rsidRPr="00D348C0" w:rsidR="003C4C27">
                              <w:t>blank template</w:t>
                            </w:r>
                            <w:r w:rsidRPr="00D348C0">
                              <w:t xml:space="preserve">. If you are continuing a strategy </w:t>
                            </w:r>
                            <w:r w:rsidRPr="00D348C0" w:rsidR="004E1D73">
                              <w:t>plan from</w:t>
                            </w:r>
                            <w:r w:rsidRPr="00D348C0" w:rsidR="00D877D0">
                              <w:t xml:space="preserve"> </w:t>
                            </w:r>
                            <w:r w:rsidRPr="00D348C0" w:rsidR="00904A66">
                              <w:t>last</w:t>
                            </w:r>
                            <w:r w:rsidRPr="00D348C0">
                              <w:t xml:space="preserve"> academic year, you may </w:t>
                            </w:r>
                            <w:r w:rsidRPr="00D348C0" w:rsidR="00A50104">
                              <w:t>prefer</w:t>
                            </w:r>
                            <w:r w:rsidRPr="00D348C0">
                              <w:t xml:space="preserve"> to edit your </w:t>
                            </w:r>
                            <w:bookmarkEnd w:id="5"/>
                            <w:r w:rsidRPr="00D348C0" w:rsidR="00D877D0">
                              <w:t>existing statement</w:t>
                            </w:r>
                            <w:r w:rsidRPr="00D348C0" w:rsidR="00D72C08">
                              <w:t xml:space="preserve">, </w:t>
                            </w:r>
                            <w:r w:rsidRPr="00D348C0" w:rsidR="005E18CB">
                              <w:t>if</w:t>
                            </w:r>
                            <w:r w:rsidRPr="00D348C0" w:rsidR="007610B5">
                              <w:t xml:space="preserve"> that version was published using the template</w:t>
                            </w:r>
                            <w:r w:rsidRPr="00D348C0" w:rsidR="00D877D0">
                              <w:t>.</w:t>
                            </w:r>
                            <w:r w:rsidRPr="00D348C0" w:rsidR="00CB24A4">
                              <w:t xml:space="preserve"> </w:t>
                            </w:r>
                          </w:p>
                          <w:p w:rsidRPr="00D348C0" w:rsidR="00E66558" w:rsidRDefault="009D71E8" w14:paraId="2A7D54B6" w14:textId="6B6F3880">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w14:anchorId="0CB1C9EB">
              <v:shapetype id="_x0000_t202" coordsize="21600,21600" o:spt="202" path="m,l,21600r21600,l21600,xe" w14:anchorId="2A7D54B2">
                <v:stroke joinstyle="miter"/>
                <v:path gradientshapeok="t" o:connecttype="rect"/>
              </v:shapetype>
              <v:shape id="Text Box 1"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lt="&quot;&quot;" o:spid="_x0000_s1026" fillcolor="#f2f2f2" strokeweight=".2646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v:textbox>
                  <w:txbxContent>
                    <w:p w:rsidRPr="00D348C0" w:rsidR="00B572C4" w:rsidP="009539E3" w:rsidRDefault="00B572C4" w14:paraId="1CE7A7BE" w14:textId="4F5B333E">
                      <w:pPr>
                        <w:rPr>
                          <w:bCs/>
                          <w:color w:val="auto"/>
                        </w:rPr>
                      </w:pPr>
                      <w:r w:rsidRPr="00D348C0">
                        <w:rPr>
                          <w:bCs/>
                          <w:color w:val="auto"/>
                        </w:rPr>
                        <w:t xml:space="preserve">Before completing this template, </w:t>
                      </w:r>
                      <w:r w:rsidRPr="00D348C0" w:rsidR="00F63E9E">
                        <w:rPr>
                          <w:bCs/>
                          <w:color w:val="auto"/>
                        </w:rPr>
                        <w:t xml:space="preserve">read </w:t>
                      </w:r>
                      <w:r w:rsidRPr="00D348C0">
                        <w:rPr>
                          <w:bCs/>
                          <w:color w:val="auto"/>
                        </w:rPr>
                        <w:t>the E</w:t>
                      </w:r>
                      <w:r w:rsidRPr="00D348C0" w:rsidR="00D3578A">
                        <w:rPr>
                          <w:bCs/>
                          <w:color w:val="auto"/>
                        </w:rPr>
                        <w:t xml:space="preserve">ducation </w:t>
                      </w:r>
                      <w:r w:rsidRPr="00D348C0">
                        <w:rPr>
                          <w:bCs/>
                          <w:color w:val="auto"/>
                        </w:rPr>
                        <w:t>E</w:t>
                      </w:r>
                      <w:r w:rsidRPr="00D348C0" w:rsidR="00D3578A">
                        <w:rPr>
                          <w:bCs/>
                          <w:color w:val="auto"/>
                        </w:rPr>
                        <w:t xml:space="preserve">ndowment </w:t>
                      </w:r>
                      <w:r w:rsidRPr="00D348C0">
                        <w:rPr>
                          <w:bCs/>
                          <w:color w:val="auto"/>
                        </w:rPr>
                        <w:t>F</w:t>
                      </w:r>
                      <w:r w:rsidRPr="00D348C0" w:rsidR="00D3578A">
                        <w:rPr>
                          <w:bCs/>
                          <w:color w:val="auto"/>
                        </w:rPr>
                        <w:t>oundation’s</w:t>
                      </w:r>
                      <w:r w:rsidRPr="00D348C0">
                        <w:rPr>
                          <w:bCs/>
                          <w:color w:val="auto"/>
                        </w:rPr>
                        <w:t xml:space="preserve"> </w:t>
                      </w:r>
                      <w:hyperlink w:history="1" r:id="rId10">
                        <w:r w:rsidRPr="00FF2000" w:rsidR="00FF2000">
                          <w:rPr>
                            <w:rStyle w:val="Hyperlink"/>
                            <w:bCs/>
                          </w:rPr>
                          <w:t>guide to the pupil premium</w:t>
                        </w:r>
                      </w:hyperlink>
                      <w:r w:rsidR="00FF2000">
                        <w:rPr>
                          <w:bCs/>
                          <w:color w:val="auto"/>
                        </w:rPr>
                        <w:t xml:space="preserve"> </w:t>
                      </w:r>
                      <w:r w:rsidRPr="00D348C0">
                        <w:rPr>
                          <w:bCs/>
                          <w:color w:val="auto"/>
                        </w:rPr>
                        <w:t xml:space="preserve">and DfE’s </w:t>
                      </w:r>
                      <w:hyperlink w:history="1" r:id="rId11">
                        <w:r w:rsidRPr="005646FA" w:rsidR="00D3578A">
                          <w:rPr>
                            <w:rStyle w:val="Hyperlink"/>
                          </w:rPr>
                          <w:t>pupil premium guidanc</w:t>
                        </w:r>
                        <w:r w:rsidRPr="005646FA" w:rsid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rsidRPr="00D348C0" w:rsidR="00993CFC" w:rsidP="00F33DC0" w:rsidRDefault="00993CFC" w14:paraId="3281F120" w14:textId="55CE2AFA">
                      <w:r w:rsidRPr="00D348C0">
                        <w:t>All schools that receive pupil premium</w:t>
                      </w:r>
                      <w:r w:rsidRPr="00CE7E1B">
                        <w:t xml:space="preserve"> </w:t>
                      </w:r>
                      <w:r w:rsidRPr="00D348C0">
                        <w:t xml:space="preserve">are required to use this template to complete and publish </w:t>
                      </w:r>
                      <w:r w:rsidRPr="00D348C0" w:rsidR="00306CB7">
                        <w:t>a</w:t>
                      </w:r>
                      <w:r w:rsidRPr="00D348C0">
                        <w:t xml:space="preserve"> pupil premium statement on their school website by 31 December</w:t>
                      </w:r>
                      <w:r w:rsidRPr="00D348C0" w:rsidR="00060A62">
                        <w:t xml:space="preserve"> every academic year</w:t>
                      </w:r>
                      <w:r w:rsidRPr="00D348C0">
                        <w:t>.</w:t>
                      </w:r>
                    </w:p>
                    <w:p w:rsidRPr="00D348C0" w:rsidR="00D877D0" w:rsidP="00D877D0" w:rsidRDefault="005750E2" w14:paraId="7399C957" w14:textId="4E035382">
                      <w:r w:rsidRPr="00D348C0">
                        <w:t>If you are starting a new pupil premium strategy plan, use this</w:t>
                      </w:r>
                      <w:r w:rsidRPr="00D348C0" w:rsidR="004A4C45">
                        <w:t xml:space="preserve"> </w:t>
                      </w:r>
                      <w:r w:rsidRPr="00D348C0" w:rsidR="003C4C27">
                        <w:t>blank template</w:t>
                      </w:r>
                      <w:r w:rsidRPr="00D348C0">
                        <w:t xml:space="preserve">. If you are continuing a strategy </w:t>
                      </w:r>
                      <w:r w:rsidRPr="00D348C0" w:rsidR="004E1D73">
                        <w:t>plan from</w:t>
                      </w:r>
                      <w:r w:rsidRPr="00D348C0" w:rsidR="00D877D0">
                        <w:t xml:space="preserve"> </w:t>
                      </w:r>
                      <w:r w:rsidRPr="00D348C0" w:rsidR="00904A66">
                        <w:t>last</w:t>
                      </w:r>
                      <w:r w:rsidRPr="00D348C0">
                        <w:t xml:space="preserve"> academic year, you may </w:t>
                      </w:r>
                      <w:r w:rsidRPr="00D348C0" w:rsidR="00A50104">
                        <w:t>prefer</w:t>
                      </w:r>
                      <w:r w:rsidRPr="00D348C0">
                        <w:t xml:space="preserve"> to edit your </w:t>
                      </w:r>
                      <w:r w:rsidRPr="00D348C0" w:rsidR="00D877D0">
                        <w:t>existing statement</w:t>
                      </w:r>
                      <w:r w:rsidRPr="00D348C0" w:rsidR="00D72C08">
                        <w:t xml:space="preserve">, </w:t>
                      </w:r>
                      <w:r w:rsidRPr="00D348C0" w:rsidR="005E18CB">
                        <w:t>if</w:t>
                      </w:r>
                      <w:r w:rsidRPr="00D348C0" w:rsidR="007610B5">
                        <w:t xml:space="preserve"> that version was published using the template</w:t>
                      </w:r>
                      <w:r w:rsidRPr="00D348C0" w:rsidR="00D877D0">
                        <w:t>.</w:t>
                      </w:r>
                      <w:r w:rsidRPr="00D348C0" w:rsidR="00CB24A4">
                        <w:t xml:space="preserve"> </w:t>
                      </w:r>
                    </w:p>
                    <w:p w:rsidRPr="00D348C0" w:rsidR="00E66558" w:rsidRDefault="009D71E8" w14:paraId="24883C19" w14:textId="6B6F3880">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Pr="001F3EEE" w:rsidR="009D71E8">
        <w:rPr>
          <w:sz w:val="22"/>
          <w:szCs w:val="22"/>
        </w:rPr>
        <w:t>Pupil premium strategy statement</w:t>
      </w:r>
      <w:bookmarkStart w:name="_Toc338167830" w:id="7"/>
      <w:bookmarkStart w:name="_Toc361136403" w:id="8"/>
      <w:bookmarkStart w:name="_Toc364235708" w:id="9"/>
      <w:bookmarkStart w:name="_Toc364235752" w:id="10"/>
      <w:bookmarkStart w:name="_Toc364235834" w:id="11"/>
      <w:bookmarkStart w:name="_Toc364840099" w:id="12"/>
      <w:bookmarkStart w:name="_Toc364864309" w:id="13"/>
      <w:bookmarkStart w:name="_Toc400361364" w:id="14"/>
      <w:bookmarkStart w:name="_Toc443397154" w:id="15"/>
      <w:bookmarkEnd w:id="0"/>
      <w:bookmarkEnd w:id="1"/>
      <w:r w:rsidRPr="001F3EEE" w:rsidR="00226317">
        <w:rPr>
          <w:sz w:val="22"/>
          <w:szCs w:val="22"/>
        </w:rPr>
        <w:t xml:space="preserve"> – </w:t>
      </w:r>
      <w:r w:rsidRPr="001F3EEE" w:rsidR="00CC576E">
        <w:rPr>
          <w:sz w:val="22"/>
          <w:szCs w:val="22"/>
        </w:rPr>
        <w:t>Felix Primary School</w:t>
      </w:r>
    </w:p>
    <w:p w:rsidRPr="001F3EEE" w:rsidR="004B1F58" w:rsidP="004B1F58" w:rsidRDefault="004B1F58" w14:paraId="57AD2424" w14:textId="77777777">
      <w:pPr>
        <w:spacing w:after="0"/>
        <w:rPr>
          <w:sz w:val="22"/>
          <w:szCs w:val="22"/>
        </w:rPr>
      </w:pPr>
    </w:p>
    <w:p w:rsidR="00ED0A30" w:rsidP="00C62989" w:rsidRDefault="00ED0A30" w14:paraId="49EF38BF" w14:textId="77777777">
      <w:pPr>
        <w:rPr>
          <w:sz w:val="22"/>
          <w:szCs w:val="22"/>
        </w:rPr>
      </w:pPr>
    </w:p>
    <w:p w:rsidRPr="00160CF5" w:rsidR="00E66558" w:rsidP="00C62989" w:rsidRDefault="00ED0A30" w14:paraId="2A7D54B3" w14:textId="467A721B">
      <w:pPr>
        <w:rPr>
          <w:sz w:val="22"/>
          <w:szCs w:val="22"/>
        </w:rPr>
      </w:pPr>
      <w:r w:rsidRPr="001F3EEE">
        <w:rPr>
          <w:sz w:val="22"/>
          <w:szCs w:val="22"/>
        </w:rPr>
        <w:t>This statement details our school’s use of pupil premium funding to help improve the attainment</w:t>
      </w:r>
      <w:r w:rsidR="00160CF5">
        <w:rPr>
          <w:sz w:val="22"/>
          <w:szCs w:val="22"/>
        </w:rPr>
        <w:t xml:space="preserve"> </w:t>
      </w:r>
      <w:r w:rsidRPr="001F3EEE" w:rsidR="009D71E8">
        <w:rPr>
          <w:sz w:val="22"/>
          <w:szCs w:val="22"/>
        </w:rPr>
        <w:t xml:space="preserve">of our disadvantaged pupils. It outlines our pupil premium strategy, how we intend to spend the funding in this academic year and the </w:t>
      </w:r>
      <w:r w:rsidRPr="001F3EEE" w:rsidR="00830D57">
        <w:rPr>
          <w:sz w:val="22"/>
          <w:szCs w:val="22"/>
        </w:rPr>
        <w:t xml:space="preserve">outcomes </w:t>
      </w:r>
      <w:r w:rsidRPr="001F3EEE" w:rsidR="00A44FBB">
        <w:rPr>
          <w:sz w:val="22"/>
          <w:szCs w:val="22"/>
        </w:rPr>
        <w:t>for disadvantaged pupils</w:t>
      </w:r>
      <w:r w:rsidRPr="001F3EEE" w:rsidR="009D71E8">
        <w:rPr>
          <w:sz w:val="22"/>
          <w:szCs w:val="22"/>
        </w:rPr>
        <w:t xml:space="preserve"> last </w:t>
      </w:r>
      <w:r w:rsidRPr="001F3EEE" w:rsidR="00A44FBB">
        <w:rPr>
          <w:sz w:val="22"/>
          <w:szCs w:val="22"/>
        </w:rPr>
        <w:t xml:space="preserve">academic </w:t>
      </w:r>
      <w:r w:rsidRPr="001F3EEE" w:rsidR="009D71E8">
        <w:rPr>
          <w:sz w:val="22"/>
          <w:szCs w:val="22"/>
        </w:rPr>
        <w:t>year</w:t>
      </w:r>
      <w:r w:rsidRPr="001F3EEE" w:rsidR="00A44FBB">
        <w:rPr>
          <w:sz w:val="22"/>
          <w:szCs w:val="22"/>
        </w:rPr>
        <w:t>.</w:t>
      </w:r>
    </w:p>
    <w:p w:rsidRPr="001F3EEE" w:rsidR="00E66558" w:rsidRDefault="009D71E8" w14:paraId="2A7D54B4" w14:textId="2CAB096C">
      <w:pPr>
        <w:pStyle w:val="Heading2"/>
        <w:rPr>
          <w:sz w:val="22"/>
          <w:szCs w:val="22"/>
        </w:rPr>
      </w:pPr>
      <w:r w:rsidRPr="001F3EEE">
        <w:rPr>
          <w:sz w:val="22"/>
          <w:szCs w:val="22"/>
        </w:rPr>
        <w:t>School overview</w:t>
      </w:r>
      <w:bookmarkEnd w:id="7"/>
      <w:bookmarkEnd w:id="8"/>
      <w:bookmarkEnd w:id="9"/>
      <w:bookmarkEnd w:id="10"/>
      <w:bookmarkEnd w:id="11"/>
      <w:bookmarkEnd w:id="12"/>
      <w:bookmarkEnd w:id="13"/>
      <w:bookmarkEnd w:id="14"/>
      <w:bookmarkEnd w:id="15"/>
    </w:p>
    <w:tbl>
      <w:tblPr>
        <w:tblW w:w="5000" w:type="pct"/>
        <w:tblCellMar>
          <w:left w:w="10" w:type="dxa"/>
          <w:right w:w="10" w:type="dxa"/>
        </w:tblCellMar>
        <w:tblLook w:val="04A0" w:firstRow="1" w:lastRow="0" w:firstColumn="1" w:lastColumn="0" w:noHBand="0" w:noVBand="1"/>
      </w:tblPr>
      <w:tblGrid>
        <w:gridCol w:w="6517"/>
        <w:gridCol w:w="2969"/>
      </w:tblGrid>
      <w:tr w:rsidRPr="001F3EEE" w:rsidR="00E66558" w:rsidTr="3C5A6419"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1F3EEE" w:rsidR="00E66558" w:rsidP="00C31636" w:rsidRDefault="009D71E8" w14:paraId="2A7D54B5" w14:textId="77777777">
            <w:pPr>
              <w:pStyle w:val="TableHeader"/>
              <w:ind w:left="0" w:right="0"/>
              <w:jc w:val="left"/>
              <w:rPr>
                <w:sz w:val="22"/>
                <w:szCs w:val="22"/>
              </w:rPr>
            </w:pPr>
            <w:r w:rsidRPr="001F3EEE">
              <w:rPr>
                <w:sz w:val="22"/>
                <w:szCs w:val="22"/>
              </w:rP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1F3EEE" w:rsidR="00E66558" w:rsidP="00C31636" w:rsidRDefault="009D71E8" w14:paraId="51A59785" w14:textId="77777777">
            <w:pPr>
              <w:pStyle w:val="TableHeader"/>
              <w:ind w:left="0" w:right="0"/>
              <w:jc w:val="left"/>
              <w:rPr>
                <w:sz w:val="22"/>
                <w:szCs w:val="22"/>
              </w:rPr>
            </w:pPr>
            <w:r w:rsidRPr="001F3EEE">
              <w:rPr>
                <w:sz w:val="22"/>
                <w:szCs w:val="22"/>
              </w:rPr>
              <w:t>Data</w:t>
            </w:r>
          </w:p>
        </w:tc>
      </w:tr>
      <w:tr w:rsidRPr="001F3EEE" w:rsidR="002940F3" w:rsidTr="3C5A6419"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2940F3" w14:paraId="2A7D54B8" w14:textId="56337796">
            <w:pPr>
              <w:pStyle w:val="TableRow"/>
              <w:ind w:left="0" w:right="0"/>
              <w:rPr>
                <w:sz w:val="22"/>
                <w:szCs w:val="22"/>
              </w:rPr>
            </w:pPr>
            <w:r w:rsidRPr="001F3EEE">
              <w:rPr>
                <w:sz w:val="22"/>
                <w:szCs w:val="22"/>
              </w:rPr>
              <w:t>Number of pupils in school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9301AD" w14:paraId="2A7D54B9" w14:textId="20FF0AAD">
            <w:pPr>
              <w:pStyle w:val="TableRow"/>
              <w:ind w:left="0" w:right="0"/>
              <w:rPr>
                <w:sz w:val="22"/>
                <w:szCs w:val="22"/>
              </w:rPr>
            </w:pPr>
            <w:r>
              <w:rPr>
                <w:sz w:val="22"/>
                <w:szCs w:val="22"/>
              </w:rPr>
              <w:t>209</w:t>
            </w:r>
          </w:p>
        </w:tc>
      </w:tr>
      <w:tr w:rsidRPr="001F3EEE" w:rsidR="002940F3" w:rsidTr="3C5A6419"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2940F3" w14:paraId="2A7D54BB" w14:textId="04774D67">
            <w:pPr>
              <w:pStyle w:val="TableRow"/>
              <w:ind w:left="0" w:right="0"/>
              <w:rPr>
                <w:sz w:val="22"/>
                <w:szCs w:val="22"/>
              </w:rPr>
            </w:pPr>
            <w:r w:rsidRPr="001F3EEE">
              <w:rPr>
                <w:sz w:val="22"/>
                <w:szCs w:val="22"/>
              </w:rP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9301AD" w14:paraId="2A7D54BC" w14:textId="7401E866">
            <w:pPr>
              <w:pStyle w:val="TableRow"/>
              <w:ind w:left="0" w:right="0"/>
              <w:rPr>
                <w:sz w:val="22"/>
                <w:szCs w:val="22"/>
              </w:rPr>
            </w:pPr>
            <w:r>
              <w:rPr>
                <w:sz w:val="22"/>
                <w:szCs w:val="22"/>
              </w:rPr>
              <w:t>40</w:t>
            </w:r>
            <w:r w:rsidRPr="001F3EEE" w:rsidR="00CC576E">
              <w:rPr>
                <w:sz w:val="22"/>
                <w:szCs w:val="22"/>
              </w:rPr>
              <w:t>%</w:t>
            </w:r>
          </w:p>
        </w:tc>
      </w:tr>
      <w:tr w:rsidRPr="001F3EEE" w:rsidR="002940F3" w:rsidTr="3C5A6419"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2940F3" w14:paraId="2A7D54BE" w14:textId="2A82B8D4">
            <w:pPr>
              <w:pStyle w:val="TableRow"/>
              <w:ind w:left="0" w:right="0"/>
              <w:rPr>
                <w:sz w:val="22"/>
                <w:szCs w:val="22"/>
              </w:rPr>
            </w:pPr>
            <w:r w:rsidRPr="001F3EEE">
              <w:rPr>
                <w:sz w:val="22"/>
                <w:szCs w:val="22"/>
              </w:rPr>
              <w:t xml:space="preserve">Academic year/years that our current pupil premium strategy plan covers </w:t>
            </w:r>
            <w:r w:rsidRPr="001F3EEE">
              <w:rPr>
                <w:b/>
                <w:sz w:val="22"/>
                <w:szCs w:val="22"/>
              </w:rPr>
              <w:t>(</w:t>
            </w:r>
            <w:r w:rsidRPr="001F3EEE" w:rsidR="004E57C3">
              <w:rPr>
                <w:b/>
                <w:sz w:val="22"/>
                <w:szCs w:val="22"/>
              </w:rPr>
              <w:t>3-year</w:t>
            </w:r>
            <w:r w:rsidRPr="001F3EEE">
              <w:rPr>
                <w:b/>
                <w:sz w:val="22"/>
                <w:szCs w:val="22"/>
              </w:rPr>
              <w:t xml:space="preserve"> plans are recommended</w:t>
            </w:r>
            <w:r w:rsidRPr="001F3EEE" w:rsidR="00D5360D">
              <w:rPr>
                <w:b/>
                <w:sz w:val="22"/>
                <w:szCs w:val="22"/>
              </w:rPr>
              <w:t xml:space="preserve"> </w:t>
            </w:r>
            <w:r w:rsidRPr="001F3EEE" w:rsidR="00560424">
              <w:rPr>
                <w:b/>
                <w:sz w:val="22"/>
                <w:szCs w:val="22"/>
              </w:rPr>
              <w:t>– you must still publish an updated statement each academic year</w:t>
            </w:r>
            <w:r w:rsidRPr="001F3EEE">
              <w:rPr>
                <w:b/>
                <w:sz w:val="22"/>
                <w:szCs w:val="22"/>
              </w:rPr>
              <w:t>)</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CC576E" w14:paraId="2A7D54BF" w14:textId="2DF03A61">
            <w:pPr>
              <w:pStyle w:val="TableRow"/>
              <w:ind w:left="0" w:right="0"/>
              <w:rPr>
                <w:sz w:val="22"/>
                <w:szCs w:val="22"/>
              </w:rPr>
            </w:pPr>
            <w:r w:rsidRPr="001F3EEE">
              <w:rPr>
                <w:sz w:val="22"/>
                <w:szCs w:val="22"/>
              </w:rPr>
              <w:t>2025-2028</w:t>
            </w:r>
          </w:p>
        </w:tc>
      </w:tr>
      <w:tr w:rsidRPr="001F3EEE" w:rsidR="002940F3" w:rsidTr="3C5A6419"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2940F3" w14:paraId="2A7D54C1" w14:textId="0F472705">
            <w:pPr>
              <w:pStyle w:val="TableRow"/>
              <w:ind w:left="0" w:right="0"/>
              <w:rPr>
                <w:sz w:val="22"/>
                <w:szCs w:val="22"/>
              </w:rPr>
            </w:pPr>
            <w:r w:rsidRPr="001F3EEE">
              <w:rPr>
                <w:sz w:val="22"/>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CC576E" w14:paraId="2A7D54C2" w14:textId="384630BB">
            <w:pPr>
              <w:pStyle w:val="TableRow"/>
              <w:ind w:left="0" w:right="0"/>
              <w:rPr>
                <w:sz w:val="22"/>
                <w:szCs w:val="22"/>
              </w:rPr>
            </w:pPr>
            <w:r w:rsidRPr="001F3EEE">
              <w:rPr>
                <w:sz w:val="22"/>
                <w:szCs w:val="22"/>
              </w:rPr>
              <w:t>December 2025</w:t>
            </w:r>
          </w:p>
        </w:tc>
      </w:tr>
      <w:tr w:rsidRPr="001F3EEE" w:rsidR="002940F3" w:rsidTr="3C5A6419"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2940F3" w14:paraId="2A7D54C4" w14:textId="0C766347">
            <w:pPr>
              <w:pStyle w:val="TableRow"/>
              <w:ind w:left="0" w:right="0"/>
              <w:rPr>
                <w:sz w:val="22"/>
                <w:szCs w:val="22"/>
              </w:rPr>
            </w:pPr>
            <w:r w:rsidRPr="001F3EEE">
              <w:rPr>
                <w:sz w:val="22"/>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CC576E" w14:paraId="2A7D54C5" w14:textId="1C114C39">
            <w:pPr>
              <w:pStyle w:val="TableRow"/>
              <w:ind w:left="0" w:right="0"/>
              <w:rPr>
                <w:sz w:val="22"/>
                <w:szCs w:val="22"/>
              </w:rPr>
            </w:pPr>
            <w:r w:rsidRPr="001F3EEE">
              <w:rPr>
                <w:sz w:val="22"/>
                <w:szCs w:val="22"/>
              </w:rPr>
              <w:t>May 2026</w:t>
            </w:r>
          </w:p>
        </w:tc>
      </w:tr>
      <w:tr w:rsidRPr="001F3EEE" w:rsidR="002940F3" w:rsidTr="3C5A6419"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2940F3" w14:paraId="2A7D54C7" w14:textId="7605248E">
            <w:pPr>
              <w:pStyle w:val="TableRow"/>
              <w:ind w:left="0" w:right="0"/>
              <w:rPr>
                <w:sz w:val="22"/>
                <w:szCs w:val="22"/>
              </w:rPr>
            </w:pPr>
            <w:r w:rsidRPr="001F3EEE">
              <w:rPr>
                <w:sz w:val="22"/>
                <w:szCs w:val="22"/>
              </w:rP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CC576E" w14:paraId="2A7D54C8" w14:textId="33EF642F">
            <w:pPr>
              <w:pStyle w:val="TableRow"/>
              <w:ind w:left="0" w:right="0"/>
              <w:rPr>
                <w:sz w:val="22"/>
                <w:szCs w:val="22"/>
              </w:rPr>
            </w:pPr>
            <w:r w:rsidRPr="001F3EEE">
              <w:rPr>
                <w:sz w:val="22"/>
                <w:szCs w:val="22"/>
              </w:rPr>
              <w:t>Leon Hall</w:t>
            </w:r>
          </w:p>
        </w:tc>
      </w:tr>
      <w:tr w:rsidRPr="001F3EEE" w:rsidR="002940F3" w:rsidTr="3C5A6419"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2940F3" w14:paraId="2A7D54CA" w14:textId="5DC091D2">
            <w:pPr>
              <w:pStyle w:val="TableRow"/>
              <w:ind w:left="0" w:right="0"/>
              <w:rPr>
                <w:sz w:val="22"/>
                <w:szCs w:val="22"/>
              </w:rPr>
            </w:pPr>
            <w:r w:rsidRPr="001F3EEE">
              <w:rPr>
                <w:sz w:val="22"/>
                <w:szCs w:val="22"/>
              </w:rP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CC576E" w14:paraId="2A7D54CB" w14:textId="25BA6066">
            <w:pPr>
              <w:pStyle w:val="TableRow"/>
              <w:ind w:left="0" w:right="0"/>
              <w:rPr>
                <w:sz w:val="22"/>
                <w:szCs w:val="22"/>
              </w:rPr>
            </w:pPr>
            <w:r w:rsidRPr="001F3EEE">
              <w:rPr>
                <w:sz w:val="22"/>
                <w:szCs w:val="22"/>
              </w:rPr>
              <w:t>Leon Hall</w:t>
            </w:r>
          </w:p>
        </w:tc>
      </w:tr>
      <w:tr w:rsidRPr="001F3EEE" w:rsidR="002940F3" w:rsidTr="3C5A6419"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2940F3" w14:paraId="2A7D54CD" w14:textId="08FA5419">
            <w:pPr>
              <w:pStyle w:val="TableRow"/>
              <w:ind w:left="0" w:right="0"/>
              <w:rPr>
                <w:sz w:val="22"/>
                <w:szCs w:val="22"/>
              </w:rPr>
            </w:pPr>
            <w:r w:rsidRPr="001F3EEE">
              <w:rPr>
                <w:sz w:val="22"/>
                <w:szCs w:val="22"/>
              </w:rPr>
              <w:t>Governor / Trustee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2940F3" w:rsidP="00C31636" w:rsidRDefault="00CC576E" w14:paraId="2A7D54CE" w14:textId="5B1B21E3">
            <w:pPr>
              <w:pStyle w:val="TableRow"/>
              <w:ind w:left="0" w:right="0"/>
              <w:rPr>
                <w:sz w:val="22"/>
                <w:szCs w:val="22"/>
              </w:rPr>
            </w:pPr>
            <w:r w:rsidRPr="001F3EEE">
              <w:rPr>
                <w:sz w:val="22"/>
                <w:szCs w:val="22"/>
              </w:rPr>
              <w:t>Penny Shephard</w:t>
            </w:r>
          </w:p>
        </w:tc>
      </w:tr>
      <w:bookmarkEnd w:id="2"/>
      <w:bookmarkEnd w:id="3"/>
      <w:bookmarkEnd w:id="4"/>
    </w:tbl>
    <w:p w:rsidR="00FE433C" w:rsidP="005464A1" w:rsidRDefault="00FE433C" w14:paraId="3CF267B0" w14:textId="77777777">
      <w:pPr>
        <w:pStyle w:val="Heading2"/>
        <w:rPr>
          <w:sz w:val="22"/>
          <w:szCs w:val="22"/>
        </w:rPr>
      </w:pPr>
    </w:p>
    <w:p w:rsidR="00FE433C" w:rsidP="005464A1" w:rsidRDefault="00FE433C" w14:paraId="124FD489" w14:textId="77777777">
      <w:pPr>
        <w:pStyle w:val="Heading2"/>
        <w:rPr>
          <w:sz w:val="22"/>
          <w:szCs w:val="22"/>
        </w:rPr>
      </w:pPr>
    </w:p>
    <w:p w:rsidRPr="001F3EEE" w:rsidR="00E66558" w:rsidP="005464A1" w:rsidRDefault="009D71E8" w14:paraId="2A7D54D3" w14:textId="540D0399">
      <w:pPr>
        <w:pStyle w:val="Heading2"/>
        <w:rPr>
          <w:sz w:val="22"/>
          <w:szCs w:val="22"/>
        </w:rPr>
      </w:pPr>
      <w:r w:rsidRPr="001F3EEE">
        <w:rPr>
          <w:sz w:val="22"/>
          <w:szCs w:val="2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Pr="001F3EEE" w:rsidR="00E66558" w:rsidTr="709C33EC"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Pr="001F3EEE" w:rsidR="00E66558" w:rsidP="00C31636" w:rsidRDefault="009D71E8" w14:paraId="2A7D54D4" w14:textId="77777777">
            <w:pPr>
              <w:pStyle w:val="TableRow"/>
              <w:ind w:left="0" w:right="0"/>
              <w:rPr>
                <w:sz w:val="22"/>
                <w:szCs w:val="22"/>
              </w:rPr>
            </w:pPr>
            <w:r w:rsidRPr="001F3EEE">
              <w:rPr>
                <w:b/>
                <w:sz w:val="22"/>
                <w:szCs w:val="22"/>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Pr="001F3EEE" w:rsidR="00E66558" w:rsidP="00C31636" w:rsidRDefault="009D71E8" w14:paraId="2A7D54D5" w14:textId="77777777">
            <w:pPr>
              <w:pStyle w:val="TableRow"/>
              <w:ind w:left="0" w:right="0"/>
              <w:rPr>
                <w:sz w:val="22"/>
                <w:szCs w:val="22"/>
              </w:rPr>
            </w:pPr>
            <w:r w:rsidRPr="001F3EEE">
              <w:rPr>
                <w:b/>
                <w:sz w:val="22"/>
                <w:szCs w:val="22"/>
              </w:rPr>
              <w:t>Amount</w:t>
            </w:r>
          </w:p>
        </w:tc>
      </w:tr>
      <w:tr w:rsidRPr="001F3EEE" w:rsidR="00E66558" w:rsidTr="709C33EC"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1F3EEE" w:rsidR="00E66558" w:rsidP="00C31636" w:rsidRDefault="009D71E8" w14:paraId="2A7D54D7" w14:textId="77777777">
            <w:pPr>
              <w:pStyle w:val="TableRow"/>
              <w:ind w:left="0" w:right="0"/>
              <w:rPr>
                <w:sz w:val="22"/>
                <w:szCs w:val="22"/>
              </w:rPr>
            </w:pPr>
            <w:r w:rsidRPr="001F3EEE">
              <w:rPr>
                <w:sz w:val="22"/>
                <w:szCs w:val="22"/>
              </w:rP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D37F8F" w:rsidP="00D37F8F" w:rsidRDefault="009D71E8" w14:paraId="4460C53F" w14:textId="704DB4D0">
            <w:pPr>
              <w:pStyle w:val="TableRow"/>
              <w:rPr>
                <w:sz w:val="22"/>
                <w:szCs w:val="22"/>
              </w:rPr>
            </w:pPr>
            <w:r w:rsidRPr="001F3EEE">
              <w:rPr>
                <w:sz w:val="22"/>
                <w:szCs w:val="22"/>
              </w:rPr>
              <w:t>£</w:t>
            </w:r>
            <w:r w:rsidRPr="001F3EEE" w:rsidR="00D37F8F">
              <w:rPr>
                <w:rFonts w:ascii="Aptos Narrow" w:hAnsi="Aptos Narrow"/>
                <w:color w:val="000000"/>
                <w:sz w:val="22"/>
                <w:szCs w:val="22"/>
              </w:rPr>
              <w:t xml:space="preserve"> </w:t>
            </w:r>
            <w:r w:rsidRPr="001F3EEE" w:rsidR="00D37F8F">
              <w:rPr>
                <w:sz w:val="22"/>
                <w:szCs w:val="22"/>
              </w:rPr>
              <w:t>143,925.00</w:t>
            </w:r>
          </w:p>
          <w:p w:rsidRPr="001F3EEE" w:rsidR="00E66558" w:rsidP="00C31636" w:rsidRDefault="00E66558" w14:paraId="2A7D54D8" w14:textId="4F7BEA56">
            <w:pPr>
              <w:pStyle w:val="TableRow"/>
              <w:ind w:left="0" w:right="0"/>
              <w:rPr>
                <w:sz w:val="22"/>
                <w:szCs w:val="22"/>
              </w:rPr>
            </w:pPr>
          </w:p>
        </w:tc>
      </w:tr>
      <w:tr w:rsidRPr="001F3EEE" w:rsidR="00E66558" w:rsidTr="709C33EC"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1F3EEE" w:rsidR="007109F6" w:rsidP="00C31636" w:rsidRDefault="009D71E8" w14:paraId="2A7D54DD" w14:textId="74690F68">
            <w:pPr>
              <w:pStyle w:val="TableRow"/>
              <w:spacing w:after="120"/>
              <w:ind w:left="0" w:right="0"/>
              <w:rPr>
                <w:sz w:val="22"/>
                <w:szCs w:val="22"/>
              </w:rPr>
            </w:pPr>
            <w:r w:rsidRPr="001F3EEE">
              <w:rPr>
                <w:sz w:val="22"/>
                <w:szCs w:val="22"/>
              </w:rPr>
              <w:t>Pupil premium</w:t>
            </w:r>
            <w:r w:rsidRPr="001F3EEE" w:rsidR="005F16B6">
              <w:rPr>
                <w:sz w:val="22"/>
                <w:szCs w:val="22"/>
              </w:rPr>
              <w:t xml:space="preserve"> </w:t>
            </w:r>
            <w:r w:rsidRPr="001F3EEE">
              <w:rPr>
                <w:sz w:val="22"/>
                <w:szCs w:val="22"/>
              </w:rPr>
              <w:t xml:space="preserve">funding carried forward from previous years </w:t>
            </w:r>
            <w:r w:rsidRPr="001F3EEE">
              <w:rPr>
                <w:i/>
                <w:iCs/>
                <w:sz w:val="22"/>
                <w:szCs w:val="22"/>
              </w:rPr>
              <w:t>(enter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E66558" w:rsidP="00C31636" w:rsidRDefault="009D71E8" w14:paraId="2A7D54DE" w14:textId="77777777">
            <w:pPr>
              <w:pStyle w:val="TableRow"/>
              <w:ind w:left="0" w:right="0"/>
              <w:rPr>
                <w:sz w:val="22"/>
                <w:szCs w:val="22"/>
              </w:rPr>
            </w:pPr>
            <w:r w:rsidRPr="001F3EEE">
              <w:rPr>
                <w:sz w:val="22"/>
                <w:szCs w:val="22"/>
              </w:rPr>
              <w:t>£</w:t>
            </w:r>
          </w:p>
        </w:tc>
      </w:tr>
      <w:tr w:rsidRPr="001F3EEE" w:rsidR="00E66558" w:rsidTr="709C33EC"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E66558" w:rsidP="00C31636" w:rsidRDefault="009D71E8" w14:paraId="2A7D54E0" w14:textId="77777777">
            <w:pPr>
              <w:pStyle w:val="TableRow"/>
              <w:spacing w:after="120"/>
              <w:ind w:left="0" w:right="0"/>
              <w:rPr>
                <w:b/>
                <w:sz w:val="22"/>
                <w:szCs w:val="22"/>
              </w:rPr>
            </w:pPr>
            <w:r w:rsidRPr="001F3EEE">
              <w:rPr>
                <w:b/>
                <w:sz w:val="22"/>
                <w:szCs w:val="22"/>
              </w:rPr>
              <w:t>Total budget for this academic year</w:t>
            </w:r>
          </w:p>
          <w:p w:rsidRPr="001F3EEE" w:rsidR="00E66558" w:rsidP="00C31636" w:rsidRDefault="009D71E8" w14:paraId="2A7D54E1" w14:textId="77777777">
            <w:pPr>
              <w:pStyle w:val="TableRow"/>
              <w:ind w:left="0" w:right="0"/>
              <w:rPr>
                <w:i/>
                <w:iCs/>
                <w:sz w:val="22"/>
                <w:szCs w:val="22"/>
              </w:rPr>
            </w:pPr>
            <w:r w:rsidRPr="001F3EEE">
              <w:rPr>
                <w:i/>
                <w:iCs/>
                <w:sz w:val="22"/>
                <w:szCs w:val="22"/>
              </w:rP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D37F8F" w:rsidP="00D37F8F" w:rsidRDefault="00D37F8F" w14:paraId="41F57C05" w14:textId="3A6B0036">
            <w:pPr>
              <w:pStyle w:val="TableRow"/>
              <w:ind w:left="0"/>
              <w:rPr>
                <w:sz w:val="22"/>
                <w:szCs w:val="22"/>
              </w:rPr>
            </w:pPr>
            <w:r w:rsidRPr="001F3EEE">
              <w:rPr>
                <w:rFonts w:ascii="Aptos Narrow" w:hAnsi="Aptos Narrow"/>
                <w:color w:val="000000"/>
                <w:sz w:val="22"/>
                <w:szCs w:val="22"/>
              </w:rPr>
              <w:t xml:space="preserve"> </w:t>
            </w:r>
            <w:r w:rsidRPr="001F3EEE">
              <w:rPr>
                <w:sz w:val="22"/>
                <w:szCs w:val="22"/>
              </w:rPr>
              <w:t>£</w:t>
            </w:r>
            <w:bookmarkStart w:name="_Hlk217044360" w:id="16"/>
            <w:r w:rsidRPr="001F3EEE">
              <w:rPr>
                <w:sz w:val="22"/>
                <w:szCs w:val="22"/>
              </w:rPr>
              <w:t>143,925.00</w:t>
            </w:r>
            <w:bookmarkEnd w:id="16"/>
          </w:p>
          <w:p w:rsidRPr="001F3EEE" w:rsidR="00E66558" w:rsidP="00C31636" w:rsidRDefault="00E66558" w14:paraId="2A7D54E2" w14:textId="30A61DA6">
            <w:pPr>
              <w:pStyle w:val="TableRow"/>
              <w:ind w:left="0" w:right="0"/>
              <w:rPr>
                <w:sz w:val="22"/>
                <w:szCs w:val="22"/>
              </w:rPr>
            </w:pPr>
          </w:p>
        </w:tc>
      </w:tr>
    </w:tbl>
    <w:p w:rsidRPr="001F3EEE" w:rsidR="00E66558" w:rsidRDefault="009D71E8" w14:paraId="2A7D54E4" w14:textId="77777777">
      <w:pPr>
        <w:pStyle w:val="Heading1"/>
        <w:rPr>
          <w:sz w:val="22"/>
          <w:szCs w:val="22"/>
        </w:rPr>
      </w:pPr>
      <w:r w:rsidRPr="001F3EEE">
        <w:rPr>
          <w:sz w:val="22"/>
          <w:szCs w:val="22"/>
        </w:rPr>
        <w:t>Part A: Pupil premium strategy plan</w:t>
      </w:r>
    </w:p>
    <w:p w:rsidRPr="001F3EEE" w:rsidR="00E66558" w:rsidRDefault="009D71E8" w14:paraId="2A7D54E5" w14:textId="77777777">
      <w:pPr>
        <w:pStyle w:val="Heading2"/>
        <w:rPr>
          <w:sz w:val="22"/>
          <w:szCs w:val="22"/>
        </w:rPr>
      </w:pPr>
      <w:bookmarkStart w:name="_Toc357771640" w:id="17"/>
      <w:bookmarkStart w:name="_Toc346793418" w:id="18"/>
      <w:r w:rsidRPr="001F3EEE">
        <w:rPr>
          <w:sz w:val="22"/>
          <w:szCs w:val="22"/>
        </w:rPr>
        <w:t>Statement of intent</w:t>
      </w:r>
    </w:p>
    <w:tbl>
      <w:tblPr>
        <w:tblW w:w="9486" w:type="dxa"/>
        <w:tblCellMar>
          <w:left w:w="10" w:type="dxa"/>
          <w:right w:w="10" w:type="dxa"/>
        </w:tblCellMar>
        <w:tblLook w:val="04A0" w:firstRow="1" w:lastRow="0" w:firstColumn="1" w:lastColumn="0" w:noHBand="0" w:noVBand="1"/>
      </w:tblPr>
      <w:tblGrid>
        <w:gridCol w:w="9486"/>
      </w:tblGrid>
      <w:tr w:rsidRPr="001F3EEE" w:rsidR="00E66558" w:rsidTr="4FA8DA1E"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CC576E" w:rsidP="00CC576E" w:rsidRDefault="00CC576E" w14:paraId="19754FE8" w14:textId="77777777">
            <w:pPr>
              <w:spacing w:before="120"/>
              <w:rPr>
                <w:b/>
                <w:bCs/>
                <w:sz w:val="22"/>
                <w:szCs w:val="22"/>
              </w:rPr>
            </w:pPr>
            <w:r w:rsidRPr="001F3EEE">
              <w:rPr>
                <w:b/>
                <w:bCs/>
                <w:sz w:val="22"/>
                <w:szCs w:val="22"/>
              </w:rPr>
              <w:t>Ultimate Objectives for Disadvantaged Pupils</w:t>
            </w:r>
          </w:p>
          <w:p w:rsidRPr="001F3EEE" w:rsidR="00CC576E" w:rsidP="00CC576E" w:rsidRDefault="00CC576E" w14:paraId="117A3AE6" w14:textId="3CF87D93">
            <w:pPr>
              <w:spacing w:before="120"/>
              <w:rPr>
                <w:sz w:val="22"/>
                <w:szCs w:val="22"/>
              </w:rPr>
            </w:pPr>
            <w:r w:rsidRPr="001F3EEE">
              <w:rPr>
                <w:sz w:val="22"/>
                <w:szCs w:val="22"/>
              </w:rPr>
              <w:t>Our core aim is to narrow the attainment gap between disadvantaged pupils and their peers by ensuring every child has access to high-quality teaching, targeted academic support, and enriching wider opportunities. Specifically, we want disadvantaged pupils to:</w:t>
            </w:r>
          </w:p>
          <w:p w:rsidRPr="001F3EEE" w:rsidR="00CC576E" w:rsidP="00CC576E" w:rsidRDefault="00CC576E" w14:paraId="3A540C80" w14:textId="77777777">
            <w:pPr>
              <w:pStyle w:val="ListParagraph"/>
              <w:numPr>
                <w:ilvl w:val="0"/>
                <w:numId w:val="18"/>
              </w:numPr>
              <w:spacing w:before="120"/>
              <w:rPr>
                <w:sz w:val="22"/>
                <w:szCs w:val="22"/>
              </w:rPr>
            </w:pPr>
            <w:r w:rsidRPr="001F3EEE">
              <w:rPr>
                <w:sz w:val="22"/>
                <w:szCs w:val="22"/>
              </w:rPr>
              <w:t>Achieve academic outcomes in line with or exceeding national expectations.</w:t>
            </w:r>
          </w:p>
          <w:p w:rsidRPr="001F3EEE" w:rsidR="00CC576E" w:rsidP="00CC576E" w:rsidRDefault="00CC576E" w14:paraId="322F5CC6" w14:textId="77777777">
            <w:pPr>
              <w:pStyle w:val="ListParagraph"/>
              <w:numPr>
                <w:ilvl w:val="0"/>
                <w:numId w:val="18"/>
              </w:numPr>
              <w:spacing w:before="120"/>
              <w:rPr>
                <w:sz w:val="22"/>
                <w:szCs w:val="22"/>
              </w:rPr>
            </w:pPr>
            <w:r w:rsidRPr="001F3EEE">
              <w:rPr>
                <w:sz w:val="22"/>
                <w:szCs w:val="22"/>
              </w:rPr>
              <w:t>Develop strong literacy and numeracy foundations.</w:t>
            </w:r>
          </w:p>
          <w:p w:rsidRPr="001F3EEE" w:rsidR="00CC576E" w:rsidP="00CC576E" w:rsidRDefault="00CC576E" w14:paraId="5D16A2EC" w14:textId="77777777">
            <w:pPr>
              <w:pStyle w:val="ListParagraph"/>
              <w:numPr>
                <w:ilvl w:val="0"/>
                <w:numId w:val="18"/>
              </w:numPr>
              <w:spacing w:before="120"/>
              <w:rPr>
                <w:sz w:val="22"/>
                <w:szCs w:val="22"/>
              </w:rPr>
            </w:pPr>
            <w:r w:rsidRPr="001F3EEE">
              <w:rPr>
                <w:sz w:val="22"/>
                <w:szCs w:val="22"/>
              </w:rPr>
              <w:t>Build resilience, confidence, and aspiration.</w:t>
            </w:r>
          </w:p>
          <w:p w:rsidRPr="001F3EEE" w:rsidR="00CC576E" w:rsidP="00CC576E" w:rsidRDefault="00CC576E" w14:paraId="45A7452F" w14:textId="77777777">
            <w:pPr>
              <w:pStyle w:val="ListParagraph"/>
              <w:numPr>
                <w:ilvl w:val="0"/>
                <w:numId w:val="18"/>
              </w:numPr>
              <w:spacing w:before="120"/>
              <w:rPr>
                <w:sz w:val="22"/>
                <w:szCs w:val="22"/>
              </w:rPr>
            </w:pPr>
            <w:r w:rsidRPr="001F3EEE">
              <w:rPr>
                <w:sz w:val="22"/>
                <w:szCs w:val="22"/>
              </w:rPr>
              <w:t>Access a broad and balanced curriculum, including cultural and enrichment experiences.</w:t>
            </w:r>
          </w:p>
          <w:p w:rsidRPr="001F3EEE" w:rsidR="00E66558" w:rsidP="00CC576E" w:rsidRDefault="00CC576E" w14:paraId="62FD1609" w14:textId="35F3E47F">
            <w:pPr>
              <w:pStyle w:val="ListParagraph"/>
              <w:numPr>
                <w:ilvl w:val="0"/>
                <w:numId w:val="18"/>
              </w:numPr>
              <w:spacing w:before="120"/>
              <w:rPr>
                <w:sz w:val="22"/>
                <w:szCs w:val="22"/>
              </w:rPr>
            </w:pPr>
            <w:r w:rsidRPr="001F3EEE">
              <w:rPr>
                <w:sz w:val="22"/>
                <w:szCs w:val="22"/>
              </w:rPr>
              <w:t>Leave school well-prepared for the next stage of education with string foundational knowledge</w:t>
            </w:r>
            <w:r w:rsidR="009301AD">
              <w:rPr>
                <w:sz w:val="22"/>
                <w:szCs w:val="22"/>
              </w:rPr>
              <w:t>.</w:t>
            </w:r>
          </w:p>
          <w:p w:rsidRPr="001F3EEE" w:rsidR="00CC576E" w:rsidP="00CC576E" w:rsidRDefault="00CC576E" w14:paraId="1975CFD4" w14:textId="77777777">
            <w:pPr>
              <w:spacing w:before="120"/>
              <w:rPr>
                <w:b/>
                <w:bCs/>
                <w:sz w:val="22"/>
                <w:szCs w:val="22"/>
              </w:rPr>
            </w:pPr>
            <w:r w:rsidRPr="001F3EEE">
              <w:rPr>
                <w:b/>
                <w:bCs/>
                <w:sz w:val="22"/>
                <w:szCs w:val="22"/>
              </w:rPr>
              <w:t>How Our Current Strategy Works Towards These Objectives</w:t>
            </w:r>
          </w:p>
          <w:p w:rsidRPr="001F3EEE" w:rsidR="00CC576E" w:rsidP="00CC576E" w:rsidRDefault="00CC576E" w14:paraId="57B2BAB3" w14:textId="77777777">
            <w:pPr>
              <w:spacing w:before="120"/>
              <w:rPr>
                <w:sz w:val="22"/>
                <w:szCs w:val="22"/>
              </w:rPr>
            </w:pPr>
            <w:r w:rsidRPr="001F3EEE">
              <w:rPr>
                <w:sz w:val="22"/>
                <w:szCs w:val="22"/>
              </w:rPr>
              <w:t>Our strategy is built around the EEF’s tiered approach, ensuring a balanced and evidence-informed use of Pupil Premium funding:</w:t>
            </w:r>
          </w:p>
          <w:p w:rsidRPr="001F3EEE" w:rsidR="00CC576E" w:rsidP="00CC576E" w:rsidRDefault="00CC576E" w14:paraId="7EB15830" w14:textId="77777777">
            <w:pPr>
              <w:numPr>
                <w:ilvl w:val="0"/>
                <w:numId w:val="19"/>
              </w:numPr>
              <w:spacing w:before="120"/>
              <w:rPr>
                <w:sz w:val="22"/>
                <w:szCs w:val="22"/>
              </w:rPr>
            </w:pPr>
            <w:r w:rsidRPr="001F3EEE">
              <w:rPr>
                <w:b/>
                <w:bCs/>
                <w:sz w:val="22"/>
                <w:szCs w:val="22"/>
              </w:rPr>
              <w:t>Tier 1: High-Quality Teaching</w:t>
            </w:r>
          </w:p>
          <w:p w:rsidRPr="001F3EEE" w:rsidR="00CC576E" w:rsidP="00CC576E" w:rsidRDefault="00CC576E" w14:paraId="5A490473" w14:textId="77777777">
            <w:pPr>
              <w:pStyle w:val="ListParagraph"/>
              <w:numPr>
                <w:ilvl w:val="0"/>
                <w:numId w:val="20"/>
              </w:numPr>
              <w:spacing w:before="120"/>
              <w:rPr>
                <w:sz w:val="22"/>
                <w:szCs w:val="22"/>
              </w:rPr>
            </w:pPr>
            <w:r w:rsidRPr="001F3EEE">
              <w:rPr>
                <w:sz w:val="22"/>
                <w:szCs w:val="22"/>
              </w:rPr>
              <w:t>Investment in staff CPD focused on adaptive teaching, formative assessment, and inclusive practice.</w:t>
            </w:r>
          </w:p>
          <w:p w:rsidRPr="001F3EEE" w:rsidR="00CC576E" w:rsidP="00CC576E" w:rsidRDefault="00CC576E" w14:paraId="01029E3A" w14:textId="321A63A7">
            <w:pPr>
              <w:pStyle w:val="ListParagraph"/>
              <w:numPr>
                <w:ilvl w:val="0"/>
                <w:numId w:val="20"/>
              </w:numPr>
              <w:spacing w:before="120"/>
              <w:rPr>
                <w:sz w:val="22"/>
                <w:szCs w:val="22"/>
              </w:rPr>
            </w:pPr>
            <w:r w:rsidRPr="001F3EEE">
              <w:rPr>
                <w:sz w:val="22"/>
                <w:szCs w:val="22"/>
              </w:rPr>
              <w:t>Curriculum development to ensure coherence, ambition, and accessibility for all learners</w:t>
            </w:r>
            <w:r w:rsidRPr="001F3EEE" w:rsidR="0076650E">
              <w:rPr>
                <w:sz w:val="22"/>
                <w:szCs w:val="22"/>
              </w:rPr>
              <w:t xml:space="preserve">- with a sharp emphasis on foundational knowledge. </w:t>
            </w:r>
          </w:p>
          <w:p w:rsidRPr="001F3EEE" w:rsidR="00CC576E" w:rsidP="00CC576E" w:rsidRDefault="00CC576E" w14:paraId="5C7CCA8B" w14:textId="77777777">
            <w:pPr>
              <w:numPr>
                <w:ilvl w:val="0"/>
                <w:numId w:val="19"/>
              </w:numPr>
              <w:spacing w:before="120"/>
              <w:rPr>
                <w:sz w:val="22"/>
                <w:szCs w:val="22"/>
              </w:rPr>
            </w:pPr>
            <w:r w:rsidRPr="001F3EEE">
              <w:rPr>
                <w:b/>
                <w:bCs/>
                <w:sz w:val="22"/>
                <w:szCs w:val="22"/>
              </w:rPr>
              <w:t>Tier 2: Targeted Academic Support</w:t>
            </w:r>
          </w:p>
          <w:p w:rsidRPr="001F3EEE" w:rsidR="00CC576E" w:rsidP="00CC576E" w:rsidRDefault="00CC576E" w14:paraId="53CE8DAA" w14:textId="7C296E85">
            <w:pPr>
              <w:pStyle w:val="ListParagraph"/>
              <w:numPr>
                <w:ilvl w:val="0"/>
                <w:numId w:val="21"/>
              </w:numPr>
              <w:spacing w:before="120"/>
              <w:rPr>
                <w:sz w:val="22"/>
                <w:szCs w:val="22"/>
              </w:rPr>
            </w:pPr>
            <w:r w:rsidRPr="001F3EEE">
              <w:rPr>
                <w:sz w:val="22"/>
                <w:szCs w:val="22"/>
              </w:rPr>
              <w:t>Small-group and one-to-one interventions in literacy and numeracy</w:t>
            </w:r>
            <w:r w:rsidRPr="001F3EEE" w:rsidR="00B407C9">
              <w:rPr>
                <w:sz w:val="22"/>
                <w:szCs w:val="22"/>
              </w:rPr>
              <w:t xml:space="preserve"> and THRIVE</w:t>
            </w:r>
          </w:p>
          <w:p w:rsidRPr="001F3EEE" w:rsidR="00CC576E" w:rsidP="00CC576E" w:rsidRDefault="00CC576E" w14:paraId="2240E7DF" w14:textId="77777777">
            <w:pPr>
              <w:pStyle w:val="ListParagraph"/>
              <w:numPr>
                <w:ilvl w:val="0"/>
                <w:numId w:val="21"/>
              </w:numPr>
              <w:spacing w:before="120"/>
              <w:rPr>
                <w:sz w:val="22"/>
                <w:szCs w:val="22"/>
              </w:rPr>
            </w:pPr>
            <w:r w:rsidRPr="001F3EEE">
              <w:rPr>
                <w:sz w:val="22"/>
                <w:szCs w:val="22"/>
              </w:rPr>
              <w:t>Use of diagnostic assessments to identify gaps and tailor support.</w:t>
            </w:r>
          </w:p>
          <w:p w:rsidRPr="001F3EEE" w:rsidR="00CC576E" w:rsidP="00CC576E" w:rsidRDefault="00CC576E" w14:paraId="25F65C8D" w14:textId="452B1E94">
            <w:pPr>
              <w:pStyle w:val="ListParagraph"/>
              <w:numPr>
                <w:ilvl w:val="0"/>
                <w:numId w:val="21"/>
              </w:numPr>
              <w:spacing w:before="120"/>
              <w:rPr>
                <w:sz w:val="22"/>
                <w:szCs w:val="22"/>
              </w:rPr>
            </w:pPr>
            <w:r w:rsidRPr="001F3EEE">
              <w:rPr>
                <w:sz w:val="22"/>
                <w:szCs w:val="22"/>
              </w:rPr>
              <w:t>Deployment of teaching assistants trained in evidence-based approaches.</w:t>
            </w:r>
          </w:p>
          <w:p w:rsidRPr="001F3EEE" w:rsidR="00CC576E" w:rsidP="00CC576E" w:rsidRDefault="00CC576E" w14:paraId="77494857" w14:textId="77777777">
            <w:pPr>
              <w:numPr>
                <w:ilvl w:val="0"/>
                <w:numId w:val="19"/>
              </w:numPr>
              <w:spacing w:before="120"/>
              <w:rPr>
                <w:sz w:val="22"/>
                <w:szCs w:val="22"/>
              </w:rPr>
            </w:pPr>
            <w:r w:rsidRPr="001F3EEE">
              <w:rPr>
                <w:b/>
                <w:bCs/>
                <w:sz w:val="22"/>
                <w:szCs w:val="22"/>
              </w:rPr>
              <w:t>Tier 3: Wider Strategies</w:t>
            </w:r>
          </w:p>
          <w:p w:rsidRPr="001F3EEE" w:rsidR="00CC576E" w:rsidP="00CC576E" w:rsidRDefault="00CC576E" w14:paraId="1190FF84" w14:textId="77777777">
            <w:pPr>
              <w:pStyle w:val="ListParagraph"/>
              <w:numPr>
                <w:ilvl w:val="0"/>
                <w:numId w:val="22"/>
              </w:numPr>
              <w:spacing w:before="120"/>
              <w:rPr>
                <w:sz w:val="22"/>
                <w:szCs w:val="22"/>
              </w:rPr>
            </w:pPr>
            <w:r w:rsidRPr="001F3EEE">
              <w:rPr>
                <w:sz w:val="22"/>
                <w:szCs w:val="22"/>
              </w:rPr>
              <w:t>Attendance monitoring and mentoring programmes.</w:t>
            </w:r>
          </w:p>
          <w:p w:rsidRPr="001F3EEE" w:rsidR="00CC576E" w:rsidP="00CC576E" w:rsidRDefault="00CC576E" w14:paraId="6D4A2822" w14:textId="77777777">
            <w:pPr>
              <w:pStyle w:val="ListParagraph"/>
              <w:numPr>
                <w:ilvl w:val="0"/>
                <w:numId w:val="22"/>
              </w:numPr>
              <w:spacing w:before="120"/>
              <w:rPr>
                <w:sz w:val="22"/>
                <w:szCs w:val="22"/>
              </w:rPr>
            </w:pPr>
            <w:r w:rsidRPr="001F3EEE">
              <w:rPr>
                <w:sz w:val="22"/>
                <w:szCs w:val="22"/>
              </w:rPr>
              <w:t>Pastoral support, including counselling and SEMH interventions.</w:t>
            </w:r>
          </w:p>
          <w:p w:rsidRPr="001F3EEE" w:rsidR="00CC576E" w:rsidP="4FA8DA1E" w:rsidRDefault="00CC576E" w14:paraId="2A7D54E9" w14:textId="76BBA618">
            <w:pPr>
              <w:pStyle w:val="ListParagraph"/>
              <w:spacing w:before="120"/>
              <w:rPr>
                <w:sz w:val="22"/>
                <w:szCs w:val="22"/>
              </w:rPr>
            </w:pPr>
            <w:r w:rsidRPr="4FA8DA1E" w:rsidR="00CC576E">
              <w:rPr>
                <w:sz w:val="22"/>
                <w:szCs w:val="22"/>
              </w:rPr>
              <w:t>Subsidised access to trips, clubs, and enrichment activities to build cultural capital.</w:t>
            </w:r>
          </w:p>
        </w:tc>
      </w:tr>
    </w:tbl>
    <w:p w:rsidRPr="001F3EEE" w:rsidR="00E66558" w:rsidRDefault="009D71E8" w14:paraId="2A7D54EB" w14:textId="1B9937FB">
      <w:pPr>
        <w:pStyle w:val="Heading2"/>
        <w:spacing w:before="600"/>
        <w:rPr>
          <w:sz w:val="22"/>
          <w:szCs w:val="22"/>
        </w:rPr>
      </w:pPr>
      <w:r w:rsidRPr="001F3EEE">
        <w:rPr>
          <w:sz w:val="22"/>
          <w:szCs w:val="22"/>
        </w:rPr>
        <w:t>Challenges</w:t>
      </w:r>
    </w:p>
    <w:p w:rsidRPr="001F3EEE" w:rsidR="00E66558" w:rsidP="00AA355B" w:rsidRDefault="009D71E8" w14:paraId="2A7D54EC" w14:textId="77777777">
      <w:pPr>
        <w:rPr>
          <w:sz w:val="22"/>
          <w:szCs w:val="22"/>
        </w:rPr>
      </w:pPr>
      <w:r w:rsidRPr="001F3EEE">
        <w:rPr>
          <w:bCs/>
          <w:sz w:val="22"/>
          <w:szCs w:val="22"/>
        </w:rPr>
        <w:t>This details</w:t>
      </w:r>
      <w:r w:rsidRPr="001F3EEE">
        <w:rPr>
          <w:sz w:val="22"/>
          <w:szCs w:val="22"/>
        </w:rPr>
        <w:t xml:space="preserve"> the key</w:t>
      </w:r>
      <w:r w:rsidRPr="001F3EEE">
        <w:rPr>
          <w:bCs/>
          <w:sz w:val="22"/>
          <w:szCs w:val="22"/>
        </w:rPr>
        <w:t xml:space="preserve"> </w:t>
      </w:r>
      <w:r w:rsidRPr="001F3EEE">
        <w:rPr>
          <w:sz w:val="22"/>
          <w:szCs w:val="22"/>
        </w:rPr>
        <w:t xml:space="preserve">challenges to </w:t>
      </w:r>
      <w:r w:rsidRPr="001F3EEE">
        <w:rPr>
          <w:bCs/>
          <w:sz w:val="22"/>
          <w:szCs w:val="22"/>
        </w:rPr>
        <w:t>achievement that we have</w:t>
      </w:r>
      <w:r w:rsidRPr="001F3EEE">
        <w:rPr>
          <w:sz w:val="22"/>
          <w:szCs w:val="22"/>
        </w:rPr>
        <w:t xml:space="preserve"> identified among </w:t>
      </w:r>
      <w:r w:rsidRPr="001F3EEE">
        <w:rPr>
          <w:bCs/>
          <w:sz w:val="22"/>
          <w:szCs w:val="22"/>
        </w:rPr>
        <w:t>our</w:t>
      </w:r>
      <w:r w:rsidRPr="001F3EEE">
        <w:rPr>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363"/>
        <w:gridCol w:w="8123"/>
      </w:tblGrid>
      <w:tr w:rsidRPr="001F3EEE" w:rsidR="00E66558" w:rsidTr="00A860A1" w14:paraId="2A7D54EF" w14:textId="77777777">
        <w:tc>
          <w:tcPr>
            <w:tcW w:w="1363"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1F3EEE" w:rsidR="00E66558" w:rsidP="00C31636" w:rsidRDefault="009D71E8" w14:paraId="2A7D54ED" w14:textId="77777777">
            <w:pPr>
              <w:pStyle w:val="TableHeader"/>
              <w:ind w:left="0" w:right="0"/>
              <w:jc w:val="left"/>
              <w:rPr>
                <w:sz w:val="22"/>
                <w:szCs w:val="22"/>
              </w:rPr>
            </w:pPr>
            <w:r w:rsidRPr="001F3EEE">
              <w:rPr>
                <w:sz w:val="22"/>
                <w:szCs w:val="22"/>
              </w:rPr>
              <w:t>Challenge number</w:t>
            </w:r>
          </w:p>
        </w:tc>
        <w:tc>
          <w:tcPr>
            <w:tcW w:w="8123"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1F3EEE" w:rsidR="00E66558" w:rsidP="00C31636" w:rsidRDefault="009D71E8" w14:paraId="2A7D54EE" w14:textId="77777777">
            <w:pPr>
              <w:pStyle w:val="TableHeader"/>
              <w:ind w:left="0" w:right="0"/>
              <w:jc w:val="left"/>
              <w:rPr>
                <w:sz w:val="22"/>
                <w:szCs w:val="22"/>
              </w:rPr>
            </w:pPr>
            <w:r w:rsidRPr="001F3EEE">
              <w:rPr>
                <w:sz w:val="22"/>
                <w:szCs w:val="22"/>
              </w:rPr>
              <w:t xml:space="preserve">Detail of challenge </w:t>
            </w:r>
          </w:p>
        </w:tc>
      </w:tr>
      <w:tr w:rsidRPr="001F3EEE" w:rsidR="00E66558" w:rsidTr="00A860A1" w14:paraId="2A7D54F2" w14:textId="77777777">
        <w:tc>
          <w:tcPr>
            <w:tcW w:w="13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9D71E8" w14:paraId="2A7D54F0" w14:textId="77777777">
            <w:pPr>
              <w:pStyle w:val="TableRow"/>
              <w:ind w:left="0" w:right="0"/>
              <w:rPr>
                <w:rFonts w:cs="Arial"/>
                <w:sz w:val="22"/>
                <w:szCs w:val="22"/>
              </w:rPr>
            </w:pPr>
            <w:r w:rsidRPr="001F3EEE">
              <w:rPr>
                <w:rFonts w:cs="Arial"/>
                <w:sz w:val="22"/>
                <w:szCs w:val="22"/>
              </w:rPr>
              <w:t>1</w:t>
            </w:r>
          </w:p>
        </w:tc>
        <w:tc>
          <w:tcPr>
            <w:tcW w:w="81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A978A6" w:rsidRDefault="00CC576E" w14:paraId="2A7D54F1" w14:textId="12D4C10F">
            <w:pPr>
              <w:pStyle w:val="TableRowCentered"/>
              <w:ind w:left="0" w:right="0"/>
              <w:jc w:val="left"/>
              <w:rPr>
                <w:rFonts w:cs="Arial"/>
                <w:sz w:val="22"/>
                <w:szCs w:val="22"/>
              </w:rPr>
            </w:pPr>
            <w:r w:rsidRPr="001F3EEE">
              <w:rPr>
                <w:rFonts w:cs="Arial"/>
                <w:b/>
                <w:bCs/>
                <w:sz w:val="22"/>
                <w:szCs w:val="22"/>
              </w:rPr>
              <w:t xml:space="preserve">Low </w:t>
            </w:r>
            <w:r w:rsidRPr="001F3EEE" w:rsidR="00316530">
              <w:rPr>
                <w:rFonts w:cs="Arial"/>
                <w:b/>
                <w:bCs/>
                <w:sz w:val="22"/>
                <w:szCs w:val="22"/>
              </w:rPr>
              <w:t>a</w:t>
            </w:r>
            <w:r w:rsidRPr="001F3EEE">
              <w:rPr>
                <w:rFonts w:cs="Arial"/>
                <w:b/>
                <w:bCs/>
                <w:sz w:val="22"/>
                <w:szCs w:val="22"/>
              </w:rPr>
              <w:t xml:space="preserve">cademic </w:t>
            </w:r>
            <w:r w:rsidRPr="001F3EEE" w:rsidR="00316530">
              <w:rPr>
                <w:rFonts w:cs="Arial"/>
                <w:b/>
                <w:bCs/>
                <w:sz w:val="22"/>
                <w:szCs w:val="22"/>
              </w:rPr>
              <w:t>a</w:t>
            </w:r>
            <w:r w:rsidRPr="001F3EEE">
              <w:rPr>
                <w:rFonts w:cs="Arial"/>
                <w:b/>
                <w:bCs/>
                <w:sz w:val="22"/>
                <w:szCs w:val="22"/>
              </w:rPr>
              <w:t xml:space="preserve">ttainment in </w:t>
            </w:r>
            <w:r w:rsidRPr="001F3EEE" w:rsidR="00316530">
              <w:rPr>
                <w:rFonts w:cs="Arial"/>
                <w:b/>
                <w:bCs/>
                <w:sz w:val="22"/>
                <w:szCs w:val="22"/>
              </w:rPr>
              <w:t>co</w:t>
            </w:r>
            <w:r w:rsidRPr="001F3EEE">
              <w:rPr>
                <w:rFonts w:cs="Arial"/>
                <w:b/>
                <w:bCs/>
                <w:sz w:val="22"/>
                <w:szCs w:val="22"/>
              </w:rPr>
              <w:t xml:space="preserve">re </w:t>
            </w:r>
            <w:r w:rsidRPr="001F3EEE" w:rsidR="00316530">
              <w:rPr>
                <w:rFonts w:cs="Arial"/>
                <w:b/>
                <w:bCs/>
                <w:sz w:val="22"/>
                <w:szCs w:val="22"/>
              </w:rPr>
              <w:t>s</w:t>
            </w:r>
            <w:r w:rsidRPr="001F3EEE">
              <w:rPr>
                <w:rFonts w:cs="Arial"/>
                <w:b/>
                <w:bCs/>
                <w:sz w:val="22"/>
                <w:szCs w:val="22"/>
              </w:rPr>
              <w:t>ubjects</w:t>
            </w:r>
            <w:r w:rsidRPr="001F3EEE">
              <w:rPr>
                <w:rFonts w:cs="Arial"/>
                <w:sz w:val="22"/>
                <w:szCs w:val="22"/>
              </w:rPr>
              <w:t>:</w:t>
            </w:r>
            <w:r w:rsidRPr="001F3EEE" w:rsidR="00A978A6">
              <w:rPr>
                <w:rFonts w:cs="Arial"/>
                <w:sz w:val="22"/>
                <w:szCs w:val="22"/>
              </w:rPr>
              <w:t xml:space="preserve"> </w:t>
            </w:r>
            <w:r w:rsidRPr="001F3EEE" w:rsidR="00A04463">
              <w:rPr>
                <w:rFonts w:cs="Arial"/>
                <w:sz w:val="22"/>
                <w:szCs w:val="22"/>
              </w:rPr>
              <w:t>Many of our</w:t>
            </w:r>
            <w:r w:rsidRPr="001F3EEE">
              <w:rPr>
                <w:rFonts w:cs="Arial"/>
                <w:sz w:val="22"/>
                <w:szCs w:val="22"/>
              </w:rPr>
              <w:t xml:space="preserve"> disadvantaged pupils </w:t>
            </w:r>
            <w:r w:rsidRPr="001F3EEE" w:rsidR="00A04463">
              <w:rPr>
                <w:rFonts w:cs="Arial"/>
                <w:sz w:val="22"/>
                <w:szCs w:val="22"/>
              </w:rPr>
              <w:t>have</w:t>
            </w:r>
            <w:r w:rsidRPr="001F3EEE">
              <w:rPr>
                <w:rFonts w:cs="Arial"/>
                <w:sz w:val="22"/>
                <w:szCs w:val="22"/>
              </w:rPr>
              <w:t xml:space="preserve"> lower attainment in reading, writing, and maths. Gaps in phonics, vocabulary, and number fluency persist across key stages</w:t>
            </w:r>
            <w:r w:rsidRPr="001F3EEE" w:rsidR="003D6D66">
              <w:rPr>
                <w:rFonts w:cs="Arial"/>
                <w:sz w:val="22"/>
                <w:szCs w:val="22"/>
              </w:rPr>
              <w:t xml:space="preserve">. We know this because of statutory tests, but also internal </w:t>
            </w:r>
            <w:r w:rsidR="009301AD">
              <w:rPr>
                <w:rFonts w:cs="Arial"/>
                <w:sz w:val="22"/>
                <w:szCs w:val="22"/>
              </w:rPr>
              <w:t>data and</w:t>
            </w:r>
            <w:r w:rsidRPr="001F3EEE" w:rsidR="003D6D66">
              <w:rPr>
                <w:rFonts w:cs="Arial"/>
                <w:sz w:val="22"/>
                <w:szCs w:val="22"/>
              </w:rPr>
              <w:t xml:space="preserve"> assessments, all of which are done termly. </w:t>
            </w:r>
            <w:r w:rsidRPr="001F3EEE" w:rsidR="009832B9">
              <w:rPr>
                <w:rFonts w:cs="Arial"/>
                <w:sz w:val="22"/>
                <w:szCs w:val="22"/>
              </w:rPr>
              <w:t xml:space="preserve"> This intelligent data has informed senior leaders that many disadvantaged pupils are not secure with foundational knowledge. </w:t>
            </w:r>
          </w:p>
        </w:tc>
      </w:tr>
      <w:tr w:rsidRPr="001F3EEE" w:rsidR="00E66558" w:rsidTr="00A860A1" w14:paraId="2A7D54F5" w14:textId="77777777">
        <w:tc>
          <w:tcPr>
            <w:tcW w:w="13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9D71E8" w14:paraId="2A7D54F3" w14:textId="77777777">
            <w:pPr>
              <w:pStyle w:val="TableRow"/>
              <w:ind w:left="0" w:right="0"/>
              <w:rPr>
                <w:rFonts w:cs="Arial"/>
                <w:sz w:val="22"/>
                <w:szCs w:val="22"/>
              </w:rPr>
            </w:pPr>
            <w:r w:rsidRPr="001F3EEE">
              <w:rPr>
                <w:rFonts w:cs="Arial"/>
                <w:sz w:val="22"/>
                <w:szCs w:val="22"/>
              </w:rPr>
              <w:t>2</w:t>
            </w:r>
          </w:p>
        </w:tc>
        <w:tc>
          <w:tcPr>
            <w:tcW w:w="81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31636" w:rsidRDefault="00CC576E" w14:paraId="2A7D54F4" w14:textId="32EEC205">
            <w:pPr>
              <w:pStyle w:val="TableRowCentered"/>
              <w:ind w:left="0" w:right="0"/>
              <w:jc w:val="left"/>
              <w:rPr>
                <w:rFonts w:cs="Arial"/>
                <w:b/>
                <w:bCs/>
                <w:sz w:val="22"/>
                <w:szCs w:val="22"/>
              </w:rPr>
            </w:pPr>
            <w:r w:rsidRPr="001F3EEE">
              <w:rPr>
                <w:rFonts w:cs="Arial"/>
                <w:b/>
                <w:bCs/>
                <w:sz w:val="22"/>
                <w:szCs w:val="22"/>
              </w:rPr>
              <w:t xml:space="preserve">Social, </w:t>
            </w:r>
            <w:r w:rsidRPr="001F3EEE" w:rsidR="00A04463">
              <w:rPr>
                <w:rFonts w:cs="Arial"/>
                <w:b/>
                <w:bCs/>
                <w:sz w:val="22"/>
                <w:szCs w:val="22"/>
              </w:rPr>
              <w:t>E</w:t>
            </w:r>
            <w:r w:rsidRPr="001F3EEE">
              <w:rPr>
                <w:rFonts w:cs="Arial"/>
                <w:b/>
                <w:bCs/>
                <w:sz w:val="22"/>
                <w:szCs w:val="22"/>
              </w:rPr>
              <w:t>motional, and Mental Health Need</w:t>
            </w:r>
            <w:r w:rsidRPr="001F3EEE" w:rsidR="005B082F">
              <w:rPr>
                <w:rFonts w:cs="Arial"/>
                <w:b/>
                <w:bCs/>
                <w:sz w:val="22"/>
                <w:szCs w:val="22"/>
              </w:rPr>
              <w:t>s:</w:t>
            </w:r>
            <w:r w:rsidRPr="001F3EEE" w:rsidR="00A978A6">
              <w:rPr>
                <w:rFonts w:cs="Arial"/>
                <w:b/>
                <w:bCs/>
                <w:sz w:val="22"/>
                <w:szCs w:val="22"/>
              </w:rPr>
              <w:t xml:space="preserve">  </w:t>
            </w:r>
            <w:r w:rsidRPr="001F3EEE">
              <w:rPr>
                <w:rFonts w:cs="Arial"/>
                <w:sz w:val="22"/>
                <w:szCs w:val="22"/>
              </w:rPr>
              <w:t>Many pupils face social, emotional, and mental health challenges, including anxiety and low self-esteem, which affect engagement and learning.</w:t>
            </w:r>
            <w:r w:rsidRPr="001F3EEE" w:rsidR="00E34180">
              <w:rPr>
                <w:rFonts w:cs="Arial"/>
                <w:sz w:val="22"/>
                <w:szCs w:val="22"/>
              </w:rPr>
              <w:t xml:space="preserve"> THRIVE assessments</w:t>
            </w:r>
            <w:r w:rsidR="009301AD">
              <w:rPr>
                <w:rFonts w:cs="Arial"/>
                <w:sz w:val="22"/>
                <w:szCs w:val="22"/>
              </w:rPr>
              <w:t>,</w:t>
            </w:r>
            <w:r w:rsidRPr="001F3EEE" w:rsidR="00E34180">
              <w:rPr>
                <w:rFonts w:cs="Arial"/>
                <w:sz w:val="22"/>
                <w:szCs w:val="22"/>
              </w:rPr>
              <w:t xml:space="preserve"> as well as our evidence </w:t>
            </w:r>
            <w:r w:rsidR="009301AD">
              <w:rPr>
                <w:rFonts w:cs="Arial"/>
                <w:sz w:val="22"/>
                <w:szCs w:val="22"/>
              </w:rPr>
              <w:t>from</w:t>
            </w:r>
            <w:r w:rsidRPr="001F3EEE" w:rsidR="00E34180">
              <w:rPr>
                <w:rFonts w:cs="Arial"/>
                <w:sz w:val="22"/>
                <w:szCs w:val="22"/>
              </w:rPr>
              <w:t xml:space="preserve"> </w:t>
            </w:r>
            <w:proofErr w:type="spellStart"/>
            <w:r w:rsidRPr="001F3EEE" w:rsidR="00E34180">
              <w:rPr>
                <w:rFonts w:cs="Arial"/>
                <w:sz w:val="22"/>
                <w:szCs w:val="22"/>
              </w:rPr>
              <w:t>M</w:t>
            </w:r>
            <w:r w:rsidRPr="001F3EEE" w:rsidR="00F707FE">
              <w:rPr>
                <w:rFonts w:cs="Arial"/>
                <w:sz w:val="22"/>
                <w:szCs w:val="22"/>
              </w:rPr>
              <w:t>y</w:t>
            </w:r>
            <w:r w:rsidR="009301AD">
              <w:rPr>
                <w:rFonts w:cs="Arial"/>
                <w:sz w:val="22"/>
                <w:szCs w:val="22"/>
              </w:rPr>
              <w:t>C</w:t>
            </w:r>
            <w:r w:rsidRPr="001F3EEE" w:rsidR="00F707FE">
              <w:rPr>
                <w:rFonts w:cs="Arial"/>
                <w:sz w:val="22"/>
                <w:szCs w:val="22"/>
              </w:rPr>
              <w:t>oncer</w:t>
            </w:r>
            <w:r w:rsidR="00456DCE">
              <w:rPr>
                <w:rFonts w:cs="Arial"/>
                <w:sz w:val="22"/>
                <w:szCs w:val="22"/>
              </w:rPr>
              <w:t>n</w:t>
            </w:r>
            <w:proofErr w:type="spellEnd"/>
            <w:r w:rsidR="009301AD">
              <w:rPr>
                <w:rFonts w:cs="Arial"/>
                <w:sz w:val="22"/>
                <w:szCs w:val="22"/>
              </w:rPr>
              <w:t xml:space="preserve">, </w:t>
            </w:r>
            <w:r w:rsidRPr="001F3EEE" w:rsidR="00E34180">
              <w:rPr>
                <w:rFonts w:cs="Arial"/>
                <w:sz w:val="22"/>
                <w:szCs w:val="22"/>
              </w:rPr>
              <w:t>show us that a higher proportion of disadvantaged children have social, emotional and mental health needs, than their peers, including those children who have had Adverse Childhood Experiences.</w:t>
            </w:r>
          </w:p>
        </w:tc>
      </w:tr>
      <w:tr w:rsidRPr="001F3EEE" w:rsidR="00E66558" w:rsidTr="00A860A1" w14:paraId="2A7D54F8" w14:textId="77777777">
        <w:tc>
          <w:tcPr>
            <w:tcW w:w="13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9D71E8" w14:paraId="2A7D54F6" w14:textId="77777777">
            <w:pPr>
              <w:pStyle w:val="TableRow"/>
              <w:ind w:left="0" w:right="0"/>
              <w:rPr>
                <w:rFonts w:cs="Arial"/>
                <w:sz w:val="22"/>
                <w:szCs w:val="22"/>
              </w:rPr>
            </w:pPr>
            <w:r w:rsidRPr="001F3EEE">
              <w:rPr>
                <w:rFonts w:cs="Arial"/>
                <w:sz w:val="22"/>
                <w:szCs w:val="22"/>
              </w:rPr>
              <w:t>3</w:t>
            </w:r>
          </w:p>
        </w:tc>
        <w:tc>
          <w:tcPr>
            <w:tcW w:w="81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9832B9" w:rsidP="00C31636" w:rsidRDefault="00CC576E" w14:paraId="2A7D54F7" w14:textId="74F40762">
            <w:pPr>
              <w:pStyle w:val="TableRowCentered"/>
              <w:ind w:left="0" w:right="0"/>
              <w:jc w:val="left"/>
              <w:rPr>
                <w:rFonts w:cs="Arial"/>
                <w:sz w:val="22"/>
                <w:szCs w:val="22"/>
              </w:rPr>
            </w:pPr>
            <w:r w:rsidRPr="001F3EEE">
              <w:rPr>
                <w:rFonts w:cs="Arial"/>
                <w:b/>
                <w:bCs/>
                <w:sz w:val="22"/>
                <w:szCs w:val="22"/>
              </w:rPr>
              <w:t>Attendance</w:t>
            </w:r>
            <w:r w:rsidRPr="001F3EEE" w:rsidR="005B082F">
              <w:rPr>
                <w:rFonts w:cs="Arial"/>
                <w:b/>
                <w:bCs/>
                <w:sz w:val="22"/>
                <w:szCs w:val="22"/>
              </w:rPr>
              <w:t>:</w:t>
            </w:r>
            <w:r w:rsidRPr="001F3EEE" w:rsidR="00A978A6">
              <w:rPr>
                <w:rFonts w:cs="Arial"/>
                <w:b/>
                <w:bCs/>
                <w:sz w:val="22"/>
                <w:szCs w:val="22"/>
              </w:rPr>
              <w:t xml:space="preserve">  </w:t>
            </w:r>
            <w:r w:rsidRPr="001F3EEE">
              <w:rPr>
                <w:rFonts w:cs="Arial"/>
                <w:sz w:val="22"/>
                <w:szCs w:val="22"/>
              </w:rPr>
              <w:t>Persistent absence and poor punctuality are more common among disadvantaged pupils, limiting access to learning and enrichment.</w:t>
            </w:r>
            <w:r w:rsidRPr="001F3EEE" w:rsidR="009832B9">
              <w:rPr>
                <w:rFonts w:cs="Arial"/>
                <w:sz w:val="22"/>
                <w:szCs w:val="22"/>
              </w:rPr>
              <w:t xml:space="preserve"> </w:t>
            </w:r>
          </w:p>
        </w:tc>
      </w:tr>
      <w:tr w:rsidRPr="001F3EEE" w:rsidR="00E66558" w:rsidTr="00A860A1" w14:paraId="2A7D54FB" w14:textId="77777777">
        <w:tc>
          <w:tcPr>
            <w:tcW w:w="13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9D71E8" w14:paraId="2A7D54F9" w14:textId="77777777">
            <w:pPr>
              <w:pStyle w:val="TableRow"/>
              <w:ind w:left="0" w:right="0"/>
              <w:rPr>
                <w:rFonts w:cs="Arial"/>
                <w:sz w:val="22"/>
                <w:szCs w:val="22"/>
              </w:rPr>
            </w:pPr>
            <w:r w:rsidRPr="001F3EEE">
              <w:rPr>
                <w:rFonts w:cs="Arial"/>
                <w:sz w:val="22"/>
                <w:szCs w:val="22"/>
              </w:rPr>
              <w:t>4</w:t>
            </w:r>
          </w:p>
        </w:tc>
        <w:tc>
          <w:tcPr>
            <w:tcW w:w="81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CC576E" w14:paraId="2A7D54FA" w14:textId="3F78555A">
            <w:pPr>
              <w:pStyle w:val="TableRowCentered"/>
              <w:ind w:left="0" w:right="0"/>
              <w:jc w:val="left"/>
              <w:rPr>
                <w:rFonts w:cs="Arial"/>
                <w:iCs/>
                <w:sz w:val="22"/>
                <w:szCs w:val="22"/>
              </w:rPr>
            </w:pPr>
            <w:r w:rsidRPr="001F3EEE">
              <w:rPr>
                <w:rFonts w:cs="Arial"/>
                <w:b/>
                <w:bCs/>
                <w:iCs/>
                <w:sz w:val="22"/>
                <w:szCs w:val="22"/>
              </w:rPr>
              <w:t>Limited Cultural Capital</w:t>
            </w:r>
            <w:r w:rsidRPr="001F3EEE" w:rsidR="005B082F">
              <w:rPr>
                <w:rFonts w:cs="Arial"/>
                <w:b/>
                <w:bCs/>
                <w:iCs/>
                <w:sz w:val="22"/>
                <w:szCs w:val="22"/>
              </w:rPr>
              <w:t>:</w:t>
            </w:r>
            <w:r w:rsidRPr="001F3EEE" w:rsidR="00A978A6">
              <w:rPr>
                <w:rFonts w:cs="Arial"/>
                <w:b/>
                <w:bCs/>
                <w:iCs/>
                <w:sz w:val="22"/>
                <w:szCs w:val="22"/>
              </w:rPr>
              <w:t xml:space="preserve">  </w:t>
            </w:r>
            <w:r w:rsidRPr="001F3EEE">
              <w:rPr>
                <w:rFonts w:cs="Arial"/>
                <w:iCs/>
                <w:sz w:val="22"/>
                <w:szCs w:val="22"/>
              </w:rPr>
              <w:t>Reduced exposure to cultural experiences and enrichment activities impacts vocabulary, background knowledge, and aspirations.</w:t>
            </w:r>
          </w:p>
        </w:tc>
      </w:tr>
      <w:tr w:rsidRPr="001F3EEE" w:rsidR="00E66558" w:rsidTr="00A860A1" w14:paraId="2A7D54FE" w14:textId="77777777">
        <w:tc>
          <w:tcPr>
            <w:tcW w:w="13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9D71E8" w14:paraId="2A7D54FC" w14:textId="77777777">
            <w:pPr>
              <w:pStyle w:val="TableRow"/>
              <w:ind w:left="0" w:right="0"/>
              <w:rPr>
                <w:rFonts w:cs="Arial"/>
                <w:sz w:val="22"/>
                <w:szCs w:val="22"/>
              </w:rPr>
            </w:pPr>
            <w:bookmarkStart w:name="_Toc443397160" w:id="19"/>
            <w:r w:rsidRPr="001F3EEE">
              <w:rPr>
                <w:rFonts w:cs="Arial"/>
                <w:sz w:val="22"/>
                <w:szCs w:val="22"/>
              </w:rPr>
              <w:t>5</w:t>
            </w:r>
          </w:p>
        </w:tc>
        <w:tc>
          <w:tcPr>
            <w:tcW w:w="81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3D6D66" w14:paraId="2A7D54FD" w14:textId="44EA8EBD">
            <w:pPr>
              <w:pStyle w:val="TableRowCentered"/>
              <w:ind w:left="0" w:right="0"/>
              <w:jc w:val="left"/>
              <w:rPr>
                <w:rFonts w:cs="Arial"/>
                <w:iCs/>
                <w:sz w:val="22"/>
                <w:szCs w:val="22"/>
              </w:rPr>
            </w:pPr>
            <w:r w:rsidRPr="001F3EEE">
              <w:rPr>
                <w:rFonts w:cs="Arial"/>
                <w:b/>
                <w:bCs/>
                <w:iCs/>
                <w:sz w:val="22"/>
                <w:szCs w:val="22"/>
              </w:rPr>
              <w:t>Speech and Language/ Vocabulary acquisition</w:t>
            </w:r>
            <w:r w:rsidRPr="001F3EEE">
              <w:rPr>
                <w:rFonts w:cs="Arial"/>
                <w:iCs/>
                <w:sz w:val="22"/>
                <w:szCs w:val="22"/>
              </w:rPr>
              <w:t xml:space="preserve"> </w:t>
            </w:r>
            <w:r w:rsidRPr="001F3EEE">
              <w:rPr>
                <w:sz w:val="22"/>
                <w:szCs w:val="22"/>
              </w:rPr>
              <w:t xml:space="preserve">Speech and Language </w:t>
            </w:r>
            <w:proofErr w:type="spellStart"/>
            <w:r w:rsidRPr="001F3EEE">
              <w:rPr>
                <w:sz w:val="22"/>
                <w:szCs w:val="22"/>
              </w:rPr>
              <w:t>Wellcomm</w:t>
            </w:r>
            <w:proofErr w:type="spellEnd"/>
            <w:r w:rsidRPr="001F3EEE">
              <w:rPr>
                <w:sz w:val="22"/>
                <w:szCs w:val="22"/>
              </w:rPr>
              <w:t xml:space="preserve"> assessments, observations and conversations with children indicate gaps in oral language skills and vocabulary for many disadvantaged pupils. These are evident from Reception to Year 6 and impact upon the child’s ability to access the curriculum. Whilst we have seen the positive impact of approaches such as </w:t>
            </w:r>
            <w:proofErr w:type="spellStart"/>
            <w:r w:rsidRPr="001F3EEE">
              <w:rPr>
                <w:sz w:val="22"/>
                <w:szCs w:val="22"/>
              </w:rPr>
              <w:t>Wellcomm</w:t>
            </w:r>
            <w:proofErr w:type="spellEnd"/>
            <w:r w:rsidRPr="001F3EEE">
              <w:rPr>
                <w:sz w:val="22"/>
                <w:szCs w:val="22"/>
              </w:rPr>
              <w:t xml:space="preserve"> we still require consistency of intervention for children with Speech and Language </w:t>
            </w:r>
            <w:proofErr w:type="gramStart"/>
            <w:r w:rsidRPr="001F3EEE">
              <w:rPr>
                <w:sz w:val="22"/>
                <w:szCs w:val="22"/>
              </w:rPr>
              <w:t>needs</w:t>
            </w:r>
            <w:proofErr w:type="gramEnd"/>
            <w:r w:rsidRPr="001F3EEE">
              <w:rPr>
                <w:sz w:val="22"/>
                <w:szCs w:val="22"/>
              </w:rPr>
              <w:t xml:space="preserve"> and we will need to measure this impact over time</w:t>
            </w:r>
          </w:p>
        </w:tc>
      </w:tr>
      <w:tr w:rsidRPr="001F3EEE" w:rsidR="00A860A1" w:rsidTr="00A860A1" w14:paraId="6EC5A067" w14:textId="77777777">
        <w:tc>
          <w:tcPr>
            <w:tcW w:w="13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A860A1" w:rsidP="00C31636" w:rsidRDefault="00A860A1" w14:paraId="7BFDC633" w14:textId="25049603">
            <w:pPr>
              <w:pStyle w:val="TableRow"/>
              <w:ind w:left="0" w:right="0"/>
              <w:rPr>
                <w:rFonts w:cs="Arial"/>
                <w:sz w:val="22"/>
                <w:szCs w:val="22"/>
              </w:rPr>
            </w:pPr>
            <w:r w:rsidRPr="001F3EEE">
              <w:rPr>
                <w:rFonts w:cs="Arial"/>
                <w:sz w:val="22"/>
                <w:szCs w:val="22"/>
              </w:rPr>
              <w:t>6</w:t>
            </w:r>
          </w:p>
        </w:tc>
        <w:tc>
          <w:tcPr>
            <w:tcW w:w="81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A860A1" w:rsidP="00C31636" w:rsidRDefault="00A860A1" w14:paraId="51A980F9" w14:textId="54E50B7E">
            <w:pPr>
              <w:pStyle w:val="TableRowCentered"/>
              <w:ind w:left="0" w:right="0"/>
              <w:jc w:val="left"/>
              <w:rPr>
                <w:rFonts w:cs="Arial"/>
                <w:b/>
                <w:bCs/>
                <w:iCs/>
                <w:sz w:val="22"/>
                <w:szCs w:val="22"/>
              </w:rPr>
            </w:pPr>
            <w:r w:rsidRPr="001F3EEE">
              <w:rPr>
                <w:rFonts w:cs="Arial"/>
                <w:b/>
                <w:bCs/>
                <w:iCs/>
                <w:sz w:val="22"/>
                <w:szCs w:val="22"/>
              </w:rPr>
              <w:t xml:space="preserve">SEN </w:t>
            </w:r>
            <w:r w:rsidRPr="001F3EEE" w:rsidR="00F803AD">
              <w:rPr>
                <w:rFonts w:cs="Arial"/>
                <w:iCs/>
                <w:sz w:val="22"/>
                <w:szCs w:val="22"/>
              </w:rPr>
              <w:t>A significant challenge for our school is that 64% of pupils eligible for Pupil Premium funding are also identified as having Special Educational Needs and Disabilities. These pupils face substantial barriers to learning, with the highest area of need being Speech, Language and Communication (SLCN). This impacts their ability to access the curriculum, engage in classroom dialogue, and develop literacy skills, which are critical for academic success. Addressing these barriers requires targeted interventions, specialist support, and a strong focus on inclusive teaching strategies.</w:t>
            </w:r>
          </w:p>
        </w:tc>
      </w:tr>
    </w:tbl>
    <w:p w:rsidR="00FE433C" w:rsidRDefault="00FE433C" w14:paraId="0A231CD2" w14:textId="77777777">
      <w:pPr>
        <w:pStyle w:val="Heading2"/>
        <w:spacing w:before="600"/>
        <w:rPr>
          <w:sz w:val="22"/>
          <w:szCs w:val="22"/>
        </w:rPr>
      </w:pPr>
    </w:p>
    <w:p w:rsidRPr="00FE433C" w:rsidR="00FE433C" w:rsidP="00FE433C" w:rsidRDefault="00FE433C" w14:paraId="30B7D154" w14:textId="77777777"/>
    <w:p w:rsidRPr="001F3EEE" w:rsidR="00E66558" w:rsidRDefault="009D71E8" w14:paraId="2A7D54FF" w14:textId="4E115628">
      <w:pPr>
        <w:pStyle w:val="Heading2"/>
        <w:spacing w:before="600"/>
        <w:rPr>
          <w:sz w:val="22"/>
          <w:szCs w:val="22"/>
        </w:rPr>
      </w:pPr>
      <w:r w:rsidRPr="001F3EEE">
        <w:rPr>
          <w:sz w:val="22"/>
          <w:szCs w:val="22"/>
        </w:rPr>
        <w:t xml:space="preserve">Intended outcomes </w:t>
      </w:r>
    </w:p>
    <w:p w:rsidRPr="001F3EEE" w:rsidR="00E66558" w:rsidRDefault="009D71E8" w14:paraId="2A7D5500" w14:textId="77777777">
      <w:pPr>
        <w:rPr>
          <w:color w:val="auto"/>
          <w:sz w:val="22"/>
          <w:szCs w:val="22"/>
        </w:rPr>
      </w:pPr>
      <w:r w:rsidRPr="001F3EEE">
        <w:rPr>
          <w:color w:val="auto"/>
          <w:sz w:val="22"/>
          <w:szCs w:val="22"/>
        </w:rPr>
        <w:t xml:space="preserve">This explains the outcomes we are aiming for </w:t>
      </w:r>
      <w:r w:rsidRPr="001F3EEE">
        <w:rPr>
          <w:b/>
          <w:bCs/>
          <w:color w:val="auto"/>
          <w:sz w:val="22"/>
          <w:szCs w:val="22"/>
        </w:rPr>
        <w:t>by the end of our current strategy plan</w:t>
      </w:r>
      <w:r w:rsidRPr="001F3EEE">
        <w:rPr>
          <w:color w:val="auto"/>
          <w:sz w:val="22"/>
          <w:szCs w:val="22"/>
        </w:rPr>
        <w:t>, and how we will measure whether they have been achieved.</w:t>
      </w:r>
    </w:p>
    <w:p w:rsidRPr="001F3EEE" w:rsidR="00F803AD" w:rsidRDefault="00F803AD" w14:paraId="22985CBE" w14:textId="77777777">
      <w:pPr>
        <w:rPr>
          <w:sz w:val="22"/>
          <w:szCs w:val="22"/>
        </w:rPr>
      </w:pPr>
    </w:p>
    <w:tbl>
      <w:tblPr>
        <w:tblW w:w="5000" w:type="pct"/>
        <w:tblCellMar>
          <w:left w:w="10" w:type="dxa"/>
          <w:right w:w="10" w:type="dxa"/>
        </w:tblCellMar>
        <w:tblLook w:val="04A0" w:firstRow="1" w:lastRow="0" w:firstColumn="1" w:lastColumn="0" w:noHBand="0" w:noVBand="1"/>
      </w:tblPr>
      <w:tblGrid>
        <w:gridCol w:w="2689"/>
        <w:gridCol w:w="6797"/>
      </w:tblGrid>
      <w:tr w:rsidRPr="001F3EEE" w:rsidR="00E66558" w:rsidTr="00EC1ECE" w14:paraId="2A7D5503" w14:textId="77777777">
        <w:tc>
          <w:tcPr>
            <w:tcW w:w="2689"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1F3EEE" w:rsidR="00E66558" w:rsidP="00C31636" w:rsidRDefault="009D71E8" w14:paraId="2A7D5501" w14:textId="77777777">
            <w:pPr>
              <w:pStyle w:val="TableHeader"/>
              <w:ind w:left="0" w:right="0"/>
              <w:jc w:val="left"/>
              <w:rPr>
                <w:sz w:val="22"/>
                <w:szCs w:val="22"/>
              </w:rPr>
            </w:pPr>
            <w:r w:rsidRPr="001F3EEE">
              <w:rPr>
                <w:sz w:val="22"/>
                <w:szCs w:val="22"/>
              </w:rPr>
              <w:t>Intended outcome</w:t>
            </w:r>
          </w:p>
        </w:tc>
        <w:tc>
          <w:tcPr>
            <w:tcW w:w="6797"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1F3EEE" w:rsidR="00E66558" w:rsidP="00C31636" w:rsidRDefault="009D71E8" w14:paraId="2A7D5502" w14:textId="77777777">
            <w:pPr>
              <w:pStyle w:val="TableHeader"/>
              <w:ind w:left="0" w:right="0"/>
              <w:jc w:val="left"/>
              <w:rPr>
                <w:sz w:val="22"/>
                <w:szCs w:val="22"/>
              </w:rPr>
            </w:pPr>
            <w:r w:rsidRPr="001F3EEE">
              <w:rPr>
                <w:sz w:val="22"/>
                <w:szCs w:val="22"/>
              </w:rPr>
              <w:t>Success criteria</w:t>
            </w:r>
          </w:p>
        </w:tc>
      </w:tr>
      <w:tr w:rsidRPr="001F3EEE" w:rsidR="00CC576E" w:rsidTr="00EC1ECE" w14:paraId="10A3F1A4" w14:textId="77777777">
        <w:tc>
          <w:tcPr>
            <w:tcW w:w="268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tcPr>
          <w:p w:rsidRPr="001F3EEE" w:rsidR="00CC576E" w:rsidP="00C31636" w:rsidRDefault="00CC576E" w14:paraId="47AA277A" w14:textId="674F981A">
            <w:pPr>
              <w:pStyle w:val="TableHeader"/>
              <w:ind w:left="0" w:right="0"/>
              <w:jc w:val="left"/>
              <w:rPr>
                <w:sz w:val="22"/>
                <w:szCs w:val="22"/>
              </w:rPr>
            </w:pPr>
            <w:r w:rsidRPr="001F3EEE">
              <w:rPr>
                <w:sz w:val="22"/>
                <w:szCs w:val="22"/>
              </w:rPr>
              <w:t>Improve quality of teaching and learning</w:t>
            </w:r>
            <w:r w:rsidRPr="001F3EEE" w:rsidR="000F3B33">
              <w:rPr>
                <w:sz w:val="22"/>
                <w:szCs w:val="22"/>
              </w:rPr>
              <w:t xml:space="preserve"> – high quality teaching and adaptation</w:t>
            </w:r>
          </w:p>
        </w:tc>
        <w:tc>
          <w:tcPr>
            <w:tcW w:w="679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0" w:type="dxa"/>
              <w:left w:w="108" w:type="dxa"/>
              <w:bottom w:w="0" w:type="dxa"/>
              <w:right w:w="108" w:type="dxa"/>
            </w:tcMar>
          </w:tcPr>
          <w:p w:rsidRPr="001F3EEE" w:rsidR="00CC576E" w:rsidP="00CC576E" w:rsidRDefault="00CC576E" w14:paraId="5CC74D61" w14:textId="738B1434">
            <w:pPr>
              <w:pStyle w:val="TableHeader"/>
              <w:numPr>
                <w:ilvl w:val="0"/>
                <w:numId w:val="25"/>
              </w:numPr>
              <w:jc w:val="left"/>
              <w:rPr>
                <w:b w:val="0"/>
                <w:bCs/>
                <w:sz w:val="22"/>
                <w:szCs w:val="22"/>
              </w:rPr>
            </w:pPr>
            <w:r w:rsidRPr="001F3EEE">
              <w:rPr>
                <w:b w:val="0"/>
                <w:bCs/>
                <w:sz w:val="22"/>
                <w:szCs w:val="22"/>
              </w:rPr>
              <w:t>All teaching staff engage in regular, high-quality CPD focused on evidence-informed practice</w:t>
            </w:r>
            <w:r w:rsidRPr="001F3EEE" w:rsidR="007C40C6">
              <w:rPr>
                <w:b w:val="0"/>
                <w:bCs/>
                <w:sz w:val="22"/>
                <w:szCs w:val="22"/>
              </w:rPr>
              <w:t xml:space="preserve"> </w:t>
            </w:r>
          </w:p>
          <w:p w:rsidRPr="001F3EEE" w:rsidR="00CC576E" w:rsidP="00CC576E" w:rsidRDefault="00CC576E" w14:paraId="264684EA" w14:textId="431D5FE5">
            <w:pPr>
              <w:pStyle w:val="TableHeader"/>
              <w:numPr>
                <w:ilvl w:val="0"/>
                <w:numId w:val="25"/>
              </w:numPr>
              <w:jc w:val="left"/>
              <w:rPr>
                <w:b w:val="0"/>
                <w:bCs/>
                <w:sz w:val="22"/>
                <w:szCs w:val="22"/>
              </w:rPr>
            </w:pPr>
            <w:r w:rsidRPr="001F3EEE">
              <w:rPr>
                <w:b w:val="0"/>
                <w:bCs/>
                <w:sz w:val="22"/>
                <w:szCs w:val="22"/>
              </w:rPr>
              <w:t xml:space="preserve"> Lesson observations and learning walks show consistent use of adaptive teaching strategies</w:t>
            </w:r>
            <w:r w:rsidRPr="001F3EEE" w:rsidR="007C40C6">
              <w:rPr>
                <w:b w:val="0"/>
                <w:bCs/>
                <w:sz w:val="22"/>
                <w:szCs w:val="22"/>
              </w:rPr>
              <w:t>- The Felix Way</w:t>
            </w:r>
            <w:r w:rsidRPr="001F3EEE" w:rsidR="009F011B">
              <w:rPr>
                <w:b w:val="0"/>
                <w:bCs/>
                <w:sz w:val="22"/>
                <w:szCs w:val="22"/>
              </w:rPr>
              <w:t xml:space="preserve">- </w:t>
            </w:r>
            <w:proofErr w:type="gramStart"/>
            <w:r w:rsidRPr="001F3EEE" w:rsidR="009F011B">
              <w:rPr>
                <w:b w:val="0"/>
                <w:bCs/>
                <w:sz w:val="22"/>
                <w:szCs w:val="22"/>
              </w:rPr>
              <w:t>5 part</w:t>
            </w:r>
            <w:proofErr w:type="gramEnd"/>
            <w:r w:rsidRPr="001F3EEE" w:rsidR="009F011B">
              <w:rPr>
                <w:b w:val="0"/>
                <w:bCs/>
                <w:sz w:val="22"/>
                <w:szCs w:val="22"/>
              </w:rPr>
              <w:t xml:space="preserve"> lesson. This is based on the science of learning. </w:t>
            </w:r>
          </w:p>
          <w:p w:rsidRPr="001F3EEE" w:rsidR="00CC576E" w:rsidP="00CC576E" w:rsidRDefault="00CC576E" w14:paraId="65EA90B5" w14:textId="77777777">
            <w:pPr>
              <w:pStyle w:val="TableHeader"/>
              <w:numPr>
                <w:ilvl w:val="0"/>
                <w:numId w:val="25"/>
              </w:numPr>
              <w:jc w:val="left"/>
              <w:rPr>
                <w:b w:val="0"/>
                <w:bCs/>
                <w:sz w:val="22"/>
                <w:szCs w:val="22"/>
              </w:rPr>
            </w:pPr>
            <w:r w:rsidRPr="001F3EEE">
              <w:rPr>
                <w:b w:val="0"/>
                <w:bCs/>
                <w:sz w:val="22"/>
                <w:szCs w:val="22"/>
              </w:rPr>
              <w:t xml:space="preserve">Disadvantaged pupils experience high-quality instruction across all subjects, leading to improved engagement and outcomes. </w:t>
            </w:r>
          </w:p>
          <w:p w:rsidRPr="001F3EEE" w:rsidR="0009602C" w:rsidP="0009602C" w:rsidRDefault="00CC576E" w14:paraId="5D65B8AA" w14:textId="77777777">
            <w:pPr>
              <w:pStyle w:val="TableHeader"/>
              <w:numPr>
                <w:ilvl w:val="0"/>
                <w:numId w:val="25"/>
              </w:numPr>
              <w:jc w:val="left"/>
              <w:rPr>
                <w:b w:val="0"/>
                <w:bCs/>
                <w:sz w:val="22"/>
                <w:szCs w:val="22"/>
              </w:rPr>
            </w:pPr>
            <w:r w:rsidRPr="001F3EEE">
              <w:rPr>
                <w:b w:val="0"/>
                <w:bCs/>
                <w:sz w:val="22"/>
                <w:szCs w:val="22"/>
              </w:rPr>
              <w:t>Staff confidence and expertise in inclusive and responsive teaching increases, as measured through feedback and appraisal.</w:t>
            </w:r>
          </w:p>
          <w:p w:rsidRPr="001F3EEE" w:rsidR="000F3B33" w:rsidP="0009602C" w:rsidRDefault="0009602C" w14:paraId="65B94BF5" w14:textId="44250DC4">
            <w:pPr>
              <w:pStyle w:val="TableHeader"/>
              <w:numPr>
                <w:ilvl w:val="0"/>
                <w:numId w:val="25"/>
              </w:numPr>
              <w:jc w:val="left"/>
              <w:rPr>
                <w:b w:val="0"/>
                <w:bCs/>
                <w:sz w:val="22"/>
                <w:szCs w:val="22"/>
              </w:rPr>
            </w:pPr>
            <w:r w:rsidRPr="0009602C">
              <w:rPr>
                <w:b w:val="0"/>
                <w:sz w:val="22"/>
                <w:szCs w:val="22"/>
              </w:rPr>
              <w:t>All staff receive targeted CPD on adaptive teaching and inclusive strategies</w:t>
            </w:r>
            <w:r w:rsidRPr="001F3EEE" w:rsidR="001F3EEE">
              <w:rPr>
                <w:b w:val="0"/>
                <w:sz w:val="22"/>
                <w:szCs w:val="22"/>
              </w:rPr>
              <w:t xml:space="preserve"> consequently children with SEN will have adaptations in place that enable them to access the curriculum and focus on the most urgent knowledge they need to learn.</w:t>
            </w:r>
          </w:p>
        </w:tc>
      </w:tr>
      <w:tr w:rsidRPr="001F3EEE" w:rsidR="00E66558" w:rsidTr="00EC1ECE" w14:paraId="2A7D5506" w14:textId="77777777">
        <w:tc>
          <w:tcPr>
            <w:tcW w:w="2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CC576E" w14:paraId="2A7D5504" w14:textId="48B6178D">
            <w:pPr>
              <w:pStyle w:val="TableRow"/>
              <w:ind w:left="0" w:right="0"/>
              <w:rPr>
                <w:sz w:val="22"/>
                <w:szCs w:val="22"/>
              </w:rPr>
            </w:pPr>
            <w:r w:rsidRPr="001F3EEE">
              <w:rPr>
                <w:i/>
                <w:iCs/>
                <w:sz w:val="22"/>
                <w:szCs w:val="22"/>
              </w:rPr>
              <w:t xml:space="preserve">Improve academic achievement </w:t>
            </w:r>
            <w:proofErr w:type="gramStart"/>
            <w:r w:rsidRPr="001F3EEE">
              <w:rPr>
                <w:i/>
                <w:iCs/>
                <w:sz w:val="22"/>
                <w:szCs w:val="22"/>
              </w:rPr>
              <w:t>in:</w:t>
            </w:r>
            <w:proofErr w:type="gramEnd"/>
            <w:r w:rsidRPr="001F3EEE">
              <w:rPr>
                <w:i/>
                <w:iCs/>
                <w:sz w:val="22"/>
                <w:szCs w:val="22"/>
              </w:rPr>
              <w:t xml:space="preserve"> reading, writing and maths </w:t>
            </w:r>
          </w:p>
        </w:tc>
        <w:tc>
          <w:tcPr>
            <w:tcW w:w="67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C576E" w:rsidRDefault="00CC576E" w14:paraId="48D63EE5" w14:textId="77777777">
            <w:pPr>
              <w:pStyle w:val="TableRowCentered"/>
              <w:numPr>
                <w:ilvl w:val="0"/>
                <w:numId w:val="23"/>
              </w:numPr>
              <w:jc w:val="left"/>
              <w:rPr>
                <w:sz w:val="22"/>
                <w:szCs w:val="22"/>
              </w:rPr>
            </w:pPr>
            <w:r w:rsidRPr="001F3EEE">
              <w:rPr>
                <w:sz w:val="22"/>
                <w:szCs w:val="22"/>
              </w:rPr>
              <w:t>Disadvantaged pupils make at least expected progress in reading, writing, and maths.</w:t>
            </w:r>
          </w:p>
          <w:p w:rsidRPr="001F3EEE" w:rsidR="00CC576E" w:rsidP="00CC576E" w:rsidRDefault="00CC576E" w14:paraId="0936050F" w14:textId="77777777">
            <w:pPr>
              <w:pStyle w:val="TableRowCentered"/>
              <w:numPr>
                <w:ilvl w:val="0"/>
                <w:numId w:val="23"/>
              </w:numPr>
              <w:jc w:val="left"/>
              <w:rPr>
                <w:sz w:val="22"/>
                <w:szCs w:val="22"/>
              </w:rPr>
            </w:pPr>
            <w:r w:rsidRPr="001F3EEE">
              <w:rPr>
                <w:sz w:val="22"/>
                <w:szCs w:val="22"/>
              </w:rPr>
              <w:t>Gap in attainment between disadvantaged and non-disadvantaged pupils narrows year-on-year</w:t>
            </w:r>
          </w:p>
          <w:p w:rsidRPr="001F3EEE" w:rsidR="00E66558" w:rsidP="00CC576E" w:rsidRDefault="00CC576E" w14:paraId="7D46A80E" w14:textId="77777777">
            <w:pPr>
              <w:pStyle w:val="TableRowCentered"/>
              <w:numPr>
                <w:ilvl w:val="0"/>
                <w:numId w:val="23"/>
              </w:numPr>
              <w:jc w:val="left"/>
              <w:rPr>
                <w:sz w:val="22"/>
                <w:szCs w:val="22"/>
              </w:rPr>
            </w:pPr>
            <w:r w:rsidRPr="001F3EEE">
              <w:rPr>
                <w:sz w:val="22"/>
                <w:szCs w:val="22"/>
              </w:rPr>
              <w:t>Pupils demonstrate improved fluency, comprehension, and confidence in core subjects.</w:t>
            </w:r>
          </w:p>
          <w:p w:rsidRPr="001F3EEE" w:rsidR="00CC576E" w:rsidP="00CC576E" w:rsidRDefault="00CC576E" w14:paraId="2A7D5505" w14:textId="314D0477">
            <w:pPr>
              <w:pStyle w:val="TableRowCentered"/>
              <w:numPr>
                <w:ilvl w:val="0"/>
                <w:numId w:val="23"/>
              </w:numPr>
              <w:jc w:val="left"/>
              <w:rPr>
                <w:sz w:val="22"/>
                <w:szCs w:val="22"/>
              </w:rPr>
            </w:pPr>
            <w:r w:rsidRPr="001F3EEE">
              <w:rPr>
                <w:sz w:val="22"/>
                <w:szCs w:val="22"/>
              </w:rPr>
              <w:t xml:space="preserve">Gaps in foundational knowledge will reduce significantly </w:t>
            </w:r>
          </w:p>
        </w:tc>
      </w:tr>
      <w:tr w:rsidRPr="001F3EEE" w:rsidR="00E66558" w:rsidTr="00EC1ECE" w14:paraId="2A7D5509" w14:textId="77777777">
        <w:tc>
          <w:tcPr>
            <w:tcW w:w="2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CC576E" w14:paraId="2A7D5507" w14:textId="7A237490">
            <w:pPr>
              <w:pStyle w:val="TableRow"/>
              <w:ind w:left="0" w:right="0"/>
              <w:rPr>
                <w:sz w:val="22"/>
                <w:szCs w:val="22"/>
              </w:rPr>
            </w:pPr>
            <w:r w:rsidRPr="001F3EEE">
              <w:rPr>
                <w:sz w:val="22"/>
                <w:szCs w:val="22"/>
              </w:rPr>
              <w:t>Improve SEMH needs</w:t>
            </w:r>
          </w:p>
        </w:tc>
        <w:tc>
          <w:tcPr>
            <w:tcW w:w="67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C576E" w:rsidRDefault="00E63541" w14:paraId="571F1BB3" w14:textId="5927BCC0">
            <w:pPr>
              <w:pStyle w:val="TableRowCentered"/>
              <w:numPr>
                <w:ilvl w:val="0"/>
                <w:numId w:val="24"/>
              </w:numPr>
              <w:jc w:val="left"/>
              <w:rPr>
                <w:sz w:val="22"/>
                <w:szCs w:val="22"/>
              </w:rPr>
            </w:pPr>
            <w:r>
              <w:rPr>
                <w:sz w:val="22"/>
                <w:szCs w:val="22"/>
              </w:rPr>
              <w:t>I</w:t>
            </w:r>
            <w:r w:rsidRPr="001F3EEE" w:rsidR="00CC5B96">
              <w:rPr>
                <w:sz w:val="22"/>
                <w:szCs w:val="22"/>
              </w:rPr>
              <w:t>dentified</w:t>
            </w:r>
            <w:r w:rsidRPr="001F3EEE" w:rsidR="00CC576E">
              <w:rPr>
                <w:sz w:val="22"/>
                <w:szCs w:val="22"/>
              </w:rPr>
              <w:t xml:space="preserve"> pupils show improved engagement, behaviour, and emotional regulation. </w:t>
            </w:r>
          </w:p>
          <w:p w:rsidRPr="001F3EEE" w:rsidR="00CC576E" w:rsidP="00CC576E" w:rsidRDefault="00CC576E" w14:paraId="0689C680" w14:textId="77777777">
            <w:pPr>
              <w:pStyle w:val="TableRowCentered"/>
              <w:numPr>
                <w:ilvl w:val="0"/>
                <w:numId w:val="24"/>
              </w:numPr>
              <w:jc w:val="left"/>
              <w:rPr>
                <w:sz w:val="22"/>
                <w:szCs w:val="22"/>
              </w:rPr>
            </w:pPr>
            <w:r w:rsidRPr="001F3EEE">
              <w:rPr>
                <w:sz w:val="22"/>
                <w:szCs w:val="22"/>
              </w:rPr>
              <w:t xml:space="preserve">Reduction in behaviour incidents and increased participation in learning. </w:t>
            </w:r>
          </w:p>
          <w:p w:rsidRPr="001F3EEE" w:rsidR="00E66558" w:rsidP="00CC576E" w:rsidRDefault="00CC576E" w14:paraId="2A7D5508" w14:textId="7A2C0A08">
            <w:pPr>
              <w:pStyle w:val="TableRowCentered"/>
              <w:numPr>
                <w:ilvl w:val="0"/>
                <w:numId w:val="24"/>
              </w:numPr>
              <w:jc w:val="left"/>
              <w:rPr>
                <w:sz w:val="22"/>
                <w:szCs w:val="22"/>
              </w:rPr>
            </w:pPr>
            <w:r w:rsidRPr="001F3EEE">
              <w:rPr>
                <w:sz w:val="22"/>
                <w:szCs w:val="22"/>
              </w:rPr>
              <w:t xml:space="preserve"> Positive feedback from pupil voice, staff observations, and wellbeing surveys.</w:t>
            </w:r>
          </w:p>
        </w:tc>
      </w:tr>
      <w:tr w:rsidRPr="001F3EEE" w:rsidR="00E66558" w:rsidTr="00EC1ECE" w14:paraId="2A7D550C" w14:textId="77777777">
        <w:tc>
          <w:tcPr>
            <w:tcW w:w="2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CC576E" w14:paraId="2A7D550A" w14:textId="4EB0FD67">
            <w:pPr>
              <w:pStyle w:val="TableRow"/>
              <w:ind w:left="0" w:right="0"/>
              <w:rPr>
                <w:sz w:val="22"/>
                <w:szCs w:val="22"/>
              </w:rPr>
            </w:pPr>
            <w:r w:rsidRPr="001F3EEE">
              <w:rPr>
                <w:sz w:val="22"/>
                <w:szCs w:val="22"/>
              </w:rPr>
              <w:t>Improve attendance</w:t>
            </w:r>
          </w:p>
        </w:tc>
        <w:tc>
          <w:tcPr>
            <w:tcW w:w="67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C576E" w:rsidRDefault="00E63541" w14:paraId="1BD0E030" w14:textId="6C5CE780">
            <w:pPr>
              <w:pStyle w:val="TableRowCentered"/>
              <w:numPr>
                <w:ilvl w:val="0"/>
                <w:numId w:val="24"/>
              </w:numPr>
              <w:jc w:val="left"/>
              <w:rPr>
                <w:sz w:val="22"/>
                <w:szCs w:val="22"/>
              </w:rPr>
            </w:pPr>
            <w:r>
              <w:rPr>
                <w:sz w:val="22"/>
                <w:szCs w:val="22"/>
              </w:rPr>
              <w:t>P</w:t>
            </w:r>
            <w:r w:rsidRPr="001F3EEE" w:rsidR="00CC576E">
              <w:rPr>
                <w:sz w:val="22"/>
                <w:szCs w:val="22"/>
              </w:rPr>
              <w:t xml:space="preserve">ersistent absence rates for disadvantaged pupils reduce to below national average. </w:t>
            </w:r>
          </w:p>
          <w:p w:rsidRPr="001F3EEE" w:rsidR="00CC576E" w:rsidP="00CC576E" w:rsidRDefault="00CC576E" w14:paraId="1AF4C545" w14:textId="77777777">
            <w:pPr>
              <w:pStyle w:val="TableRowCentered"/>
              <w:numPr>
                <w:ilvl w:val="0"/>
                <w:numId w:val="24"/>
              </w:numPr>
              <w:jc w:val="left"/>
              <w:rPr>
                <w:sz w:val="22"/>
                <w:szCs w:val="22"/>
              </w:rPr>
            </w:pPr>
            <w:r w:rsidRPr="001F3EEE">
              <w:rPr>
                <w:sz w:val="22"/>
                <w:szCs w:val="22"/>
              </w:rPr>
              <w:t xml:space="preserve">Overall attendance for disadvantaged pupils improves to 95% or above. </w:t>
            </w:r>
          </w:p>
          <w:p w:rsidRPr="001F3EEE" w:rsidR="00E66558" w:rsidP="00CC576E" w:rsidRDefault="00CC576E" w14:paraId="38DE2932" w14:textId="432A1535">
            <w:pPr>
              <w:pStyle w:val="TableRowCentered"/>
              <w:numPr>
                <w:ilvl w:val="0"/>
                <w:numId w:val="24"/>
              </w:numPr>
              <w:jc w:val="left"/>
              <w:rPr>
                <w:sz w:val="22"/>
                <w:szCs w:val="22"/>
              </w:rPr>
            </w:pPr>
            <w:r w:rsidRPr="001F3EEE">
              <w:rPr>
                <w:sz w:val="22"/>
                <w:szCs w:val="22"/>
              </w:rPr>
              <w:t>Increased punctuality and fewer unauthorised absences.</w:t>
            </w:r>
          </w:p>
          <w:p w:rsidRPr="001F3EEE" w:rsidR="00CC576E" w:rsidP="00CC576E" w:rsidRDefault="00CC576E" w14:paraId="2A7D550B" w14:textId="1C460E80">
            <w:pPr>
              <w:pStyle w:val="TableRowCentered"/>
              <w:numPr>
                <w:ilvl w:val="0"/>
                <w:numId w:val="24"/>
              </w:numPr>
              <w:jc w:val="left"/>
              <w:rPr>
                <w:sz w:val="22"/>
                <w:szCs w:val="22"/>
              </w:rPr>
            </w:pPr>
            <w:r w:rsidRPr="001F3EEE">
              <w:rPr>
                <w:sz w:val="22"/>
                <w:szCs w:val="22"/>
              </w:rPr>
              <w:t xml:space="preserve">Increase % of </w:t>
            </w:r>
            <w:r w:rsidRPr="001F3EEE" w:rsidR="00EC1ECE">
              <w:rPr>
                <w:sz w:val="22"/>
                <w:szCs w:val="22"/>
              </w:rPr>
              <w:t>disadvantaged</w:t>
            </w:r>
            <w:r w:rsidRPr="001F3EEE">
              <w:rPr>
                <w:sz w:val="22"/>
                <w:szCs w:val="22"/>
              </w:rPr>
              <w:t xml:space="preserve"> pupils being in school for 95% of the time</w:t>
            </w:r>
          </w:p>
        </w:tc>
      </w:tr>
      <w:tr w:rsidRPr="001F3EEE" w:rsidR="00E66558" w:rsidTr="00EC1ECE" w14:paraId="2A7D550F" w14:textId="77777777">
        <w:tc>
          <w:tcPr>
            <w:tcW w:w="2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CC576E" w14:paraId="2A7D550D" w14:textId="057E7A7E">
            <w:pPr>
              <w:pStyle w:val="TableRow"/>
              <w:ind w:left="0" w:right="0"/>
              <w:rPr>
                <w:sz w:val="22"/>
                <w:szCs w:val="22"/>
              </w:rPr>
            </w:pPr>
            <w:r w:rsidRPr="001F3EEE">
              <w:rPr>
                <w:sz w:val="22"/>
                <w:szCs w:val="22"/>
              </w:rPr>
              <w:t>Improve cultural capital</w:t>
            </w:r>
          </w:p>
        </w:tc>
        <w:tc>
          <w:tcPr>
            <w:tcW w:w="67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C576E" w:rsidRDefault="00CC576E" w14:paraId="5DC883E8" w14:textId="77777777">
            <w:pPr>
              <w:pStyle w:val="TableRowCentered"/>
              <w:numPr>
                <w:ilvl w:val="0"/>
                <w:numId w:val="24"/>
              </w:numPr>
              <w:jc w:val="left"/>
              <w:rPr>
                <w:sz w:val="22"/>
                <w:szCs w:val="22"/>
              </w:rPr>
            </w:pPr>
            <w:r w:rsidRPr="001F3EEE">
              <w:rPr>
                <w:sz w:val="22"/>
                <w:szCs w:val="22"/>
              </w:rPr>
              <w:t xml:space="preserve">Disadvantaged pupils access a range of enrichment activities, including trips, clubs, and cultural experiences. </w:t>
            </w:r>
          </w:p>
          <w:p w:rsidRPr="001F3EEE" w:rsidR="00CC576E" w:rsidP="00CC576E" w:rsidRDefault="00CC576E" w14:paraId="50C26DE9" w14:textId="77777777">
            <w:pPr>
              <w:pStyle w:val="TableRowCentered"/>
              <w:numPr>
                <w:ilvl w:val="0"/>
                <w:numId w:val="24"/>
              </w:numPr>
              <w:jc w:val="left"/>
              <w:rPr>
                <w:sz w:val="22"/>
                <w:szCs w:val="22"/>
              </w:rPr>
            </w:pPr>
            <w:r w:rsidRPr="001F3EEE">
              <w:rPr>
                <w:sz w:val="22"/>
                <w:szCs w:val="22"/>
              </w:rPr>
              <w:t xml:space="preserve"> Pupils demonstrate broader vocabulary, improved background knowledge, and increased aspiration. </w:t>
            </w:r>
          </w:p>
          <w:p w:rsidRPr="001F3EEE" w:rsidR="00E66558" w:rsidP="00CC576E" w:rsidRDefault="00CC576E" w14:paraId="2A7D550E" w14:textId="4B8BE44E">
            <w:pPr>
              <w:pStyle w:val="TableRowCentered"/>
              <w:numPr>
                <w:ilvl w:val="0"/>
                <w:numId w:val="24"/>
              </w:numPr>
              <w:jc w:val="left"/>
              <w:rPr>
                <w:sz w:val="22"/>
                <w:szCs w:val="22"/>
              </w:rPr>
            </w:pPr>
            <w:r w:rsidRPr="001F3EEE">
              <w:rPr>
                <w:sz w:val="22"/>
                <w:szCs w:val="22"/>
              </w:rPr>
              <w:t>Participation in extracurricular activities is tracked and increases over time.</w:t>
            </w:r>
          </w:p>
        </w:tc>
      </w:tr>
      <w:tr w:rsidRPr="001F3EEE" w:rsidR="00463BCA" w:rsidTr="00EC1ECE" w14:paraId="0F342F50" w14:textId="77777777">
        <w:tc>
          <w:tcPr>
            <w:tcW w:w="26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463BCA" w:rsidP="00C31636" w:rsidRDefault="000F3B33" w14:paraId="498C8290" w14:textId="7CD6FB6F">
            <w:pPr>
              <w:pStyle w:val="TableRow"/>
              <w:ind w:left="0" w:right="0"/>
              <w:rPr>
                <w:sz w:val="22"/>
                <w:szCs w:val="22"/>
              </w:rPr>
            </w:pPr>
            <w:r w:rsidRPr="001F3EEE">
              <w:rPr>
                <w:sz w:val="22"/>
                <w:szCs w:val="22"/>
              </w:rPr>
              <w:t>Speech and language</w:t>
            </w:r>
          </w:p>
        </w:tc>
        <w:tc>
          <w:tcPr>
            <w:tcW w:w="67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7C0C77" w:rsidR="007C0C77" w:rsidP="007C0C77" w:rsidRDefault="00463BCA" w14:paraId="2E79BC29" w14:textId="0B442CC5">
            <w:pPr>
              <w:pStyle w:val="TableRowCentered"/>
              <w:numPr>
                <w:ilvl w:val="0"/>
                <w:numId w:val="24"/>
              </w:numPr>
              <w:jc w:val="left"/>
              <w:rPr>
                <w:sz w:val="22"/>
                <w:szCs w:val="22"/>
              </w:rPr>
            </w:pPr>
            <w:r w:rsidRPr="001F3EEE">
              <w:rPr>
                <w:sz w:val="22"/>
                <w:szCs w:val="22"/>
              </w:rPr>
              <w:t xml:space="preserve">Speech and Language </w:t>
            </w:r>
            <w:proofErr w:type="spellStart"/>
            <w:r w:rsidRPr="001F3EEE">
              <w:rPr>
                <w:sz w:val="22"/>
                <w:szCs w:val="22"/>
              </w:rPr>
              <w:t>Wellcomm</w:t>
            </w:r>
            <w:proofErr w:type="spellEnd"/>
            <w:r w:rsidRPr="001F3EEE">
              <w:rPr>
                <w:sz w:val="22"/>
                <w:szCs w:val="22"/>
              </w:rPr>
              <w:t xml:space="preserve"> assessments, observations and conversations with children indicate gaps in oral language skills and vocabulary for many disadvantaged pupils. These are evident from Reception to Year 6 and impact upon the child’s ability to access the curriculum. Whilst we have seen the positive impact of approaches such as </w:t>
            </w:r>
            <w:proofErr w:type="spellStart"/>
            <w:r w:rsidRPr="001F3EEE">
              <w:rPr>
                <w:sz w:val="22"/>
                <w:szCs w:val="22"/>
              </w:rPr>
              <w:t>Wellcomm</w:t>
            </w:r>
            <w:proofErr w:type="spellEnd"/>
            <w:r w:rsidRPr="001F3EEE" w:rsidR="005003A6">
              <w:rPr>
                <w:sz w:val="22"/>
                <w:szCs w:val="22"/>
              </w:rPr>
              <w:t xml:space="preserve"> </w:t>
            </w:r>
            <w:r w:rsidRPr="001F3EEE">
              <w:rPr>
                <w:sz w:val="22"/>
                <w:szCs w:val="22"/>
              </w:rPr>
              <w:t xml:space="preserve">we still required consistency of intervention for children with Speech and Language </w:t>
            </w:r>
            <w:proofErr w:type="gramStart"/>
            <w:r w:rsidRPr="001F3EEE">
              <w:rPr>
                <w:sz w:val="22"/>
                <w:szCs w:val="22"/>
              </w:rPr>
              <w:t>needs</w:t>
            </w:r>
            <w:proofErr w:type="gramEnd"/>
            <w:r w:rsidRPr="001F3EEE">
              <w:rPr>
                <w:sz w:val="22"/>
                <w:szCs w:val="22"/>
              </w:rPr>
              <w:t xml:space="preserve"> and we will need to measure this impact over time.</w:t>
            </w:r>
          </w:p>
        </w:tc>
      </w:tr>
    </w:tbl>
    <w:p w:rsidRPr="001F3EEE" w:rsidR="00120AB1" w:rsidP="00BD4B12" w:rsidRDefault="00463BCA" w14:paraId="2A06959E" w14:textId="00155812">
      <w:pPr>
        <w:rPr>
          <w:sz w:val="22"/>
          <w:szCs w:val="22"/>
        </w:rPr>
      </w:pPr>
      <w:r w:rsidRPr="001F3EEE">
        <w:rPr>
          <w:sz w:val="22"/>
          <w:szCs w:val="22"/>
        </w:rPr>
        <w:tab/>
      </w:r>
    </w:p>
    <w:p w:rsidRPr="001F3EEE" w:rsidR="00E66558" w:rsidRDefault="009D71E8" w14:paraId="2A7D5512" w14:textId="7B489199">
      <w:pPr>
        <w:pStyle w:val="Heading2"/>
        <w:rPr>
          <w:sz w:val="22"/>
          <w:szCs w:val="22"/>
        </w:rPr>
      </w:pPr>
      <w:r w:rsidRPr="001F3EEE">
        <w:rPr>
          <w:sz w:val="22"/>
          <w:szCs w:val="22"/>
        </w:rPr>
        <w:t>Activity in this academic year</w:t>
      </w:r>
    </w:p>
    <w:p w:rsidRPr="001F3EEE" w:rsidR="00E66558" w:rsidRDefault="009D71E8" w14:paraId="2A7D5513" w14:textId="20453EFC">
      <w:pPr>
        <w:spacing w:after="480"/>
        <w:rPr>
          <w:sz w:val="22"/>
          <w:szCs w:val="22"/>
        </w:rPr>
      </w:pPr>
      <w:r w:rsidRPr="001F3EEE">
        <w:rPr>
          <w:sz w:val="22"/>
          <w:szCs w:val="22"/>
        </w:rPr>
        <w:t xml:space="preserve">This details how we intend to spend our pupil premium funding </w:t>
      </w:r>
      <w:r w:rsidRPr="001F3EEE">
        <w:rPr>
          <w:b/>
          <w:bCs/>
          <w:sz w:val="22"/>
          <w:szCs w:val="22"/>
        </w:rPr>
        <w:t>this academic year</w:t>
      </w:r>
      <w:r w:rsidRPr="001F3EEE">
        <w:rPr>
          <w:sz w:val="22"/>
          <w:szCs w:val="22"/>
        </w:rPr>
        <w:t xml:space="preserve"> to address the challenges listed above.</w:t>
      </w:r>
    </w:p>
    <w:p w:rsidRPr="001F3EEE" w:rsidR="00E66558" w:rsidRDefault="009D71E8" w14:paraId="2A7D5514" w14:textId="77777777">
      <w:pPr>
        <w:pStyle w:val="Heading3"/>
        <w:rPr>
          <w:sz w:val="22"/>
          <w:szCs w:val="22"/>
        </w:rPr>
      </w:pPr>
      <w:r w:rsidRPr="001F3EEE">
        <w:rPr>
          <w:sz w:val="22"/>
          <w:szCs w:val="22"/>
        </w:rPr>
        <w:t>Teaching (for example, CPD, recruitment and retention)</w:t>
      </w:r>
    </w:p>
    <w:p w:rsidRPr="001F3EEE" w:rsidR="00E66558" w:rsidRDefault="009D71E8" w14:paraId="2A7D5515" w14:textId="39129871">
      <w:pPr>
        <w:rPr>
          <w:sz w:val="22"/>
          <w:szCs w:val="22"/>
        </w:rPr>
      </w:pPr>
      <w:r w:rsidRPr="001F3EEE">
        <w:rPr>
          <w:sz w:val="22"/>
          <w:szCs w:val="22"/>
        </w:rPr>
        <w:t xml:space="preserve">Budgeted cost: </w:t>
      </w:r>
      <w:r w:rsidR="008D64B8">
        <w:rPr>
          <w:sz w:val="22"/>
          <w:szCs w:val="22"/>
        </w:rPr>
        <w:t>£72,845</w:t>
      </w:r>
    </w:p>
    <w:tbl>
      <w:tblPr>
        <w:tblW w:w="5227" w:type="pct"/>
        <w:tblInd w:w="-431" w:type="dxa"/>
        <w:tblCellMar>
          <w:left w:w="10" w:type="dxa"/>
          <w:right w:w="10" w:type="dxa"/>
        </w:tblCellMar>
        <w:tblLook w:val="04A0" w:firstRow="1" w:lastRow="0" w:firstColumn="1" w:lastColumn="0" w:noHBand="0" w:noVBand="1"/>
      </w:tblPr>
      <w:tblGrid>
        <w:gridCol w:w="2553"/>
        <w:gridCol w:w="5945"/>
        <w:gridCol w:w="1419"/>
      </w:tblGrid>
      <w:tr w:rsidRPr="001F3EEE" w:rsidR="00E66558" w:rsidTr="00DC1212" w14:paraId="2A7D5519" w14:textId="77777777">
        <w:tc>
          <w:tcPr>
            <w:tcW w:w="2553"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1F3EEE" w:rsidR="00E66558" w:rsidP="00C31636" w:rsidRDefault="009D71E8" w14:paraId="2A7D5516" w14:textId="77777777">
            <w:pPr>
              <w:pStyle w:val="TableHeader"/>
              <w:ind w:left="0" w:right="0"/>
              <w:jc w:val="left"/>
              <w:rPr>
                <w:sz w:val="22"/>
                <w:szCs w:val="22"/>
              </w:rPr>
            </w:pPr>
            <w:r w:rsidRPr="001F3EEE">
              <w:rPr>
                <w:sz w:val="22"/>
                <w:szCs w:val="22"/>
              </w:rPr>
              <w:t>Activity</w:t>
            </w:r>
          </w:p>
        </w:tc>
        <w:tc>
          <w:tcPr>
            <w:tcW w:w="5945"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1F3EEE" w:rsidR="00E66558" w:rsidP="00C31636" w:rsidRDefault="009D71E8" w14:paraId="2A7D5517" w14:textId="77777777">
            <w:pPr>
              <w:pStyle w:val="TableHeader"/>
              <w:ind w:left="0" w:right="0"/>
              <w:jc w:val="left"/>
              <w:rPr>
                <w:sz w:val="22"/>
                <w:szCs w:val="22"/>
              </w:rPr>
            </w:pPr>
            <w:r w:rsidRPr="001F3EEE">
              <w:rPr>
                <w:sz w:val="22"/>
                <w:szCs w:val="22"/>
              </w:rPr>
              <w:t>Evidence that supports this approach</w:t>
            </w:r>
          </w:p>
        </w:tc>
        <w:tc>
          <w:tcPr>
            <w:tcW w:w="1419"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1F3EEE" w:rsidR="00E66558" w:rsidP="00C31636" w:rsidRDefault="009D71E8" w14:paraId="2A7D5518" w14:textId="77777777">
            <w:pPr>
              <w:pStyle w:val="TableHeader"/>
              <w:ind w:left="0" w:right="0"/>
              <w:jc w:val="left"/>
              <w:rPr>
                <w:sz w:val="22"/>
                <w:szCs w:val="22"/>
              </w:rPr>
            </w:pPr>
            <w:r w:rsidRPr="001F3EEE">
              <w:rPr>
                <w:sz w:val="22"/>
                <w:szCs w:val="22"/>
              </w:rPr>
              <w:t>Challenge number(s) addressed</w:t>
            </w:r>
          </w:p>
        </w:tc>
      </w:tr>
      <w:tr w:rsidRPr="001F3EEE" w:rsidR="00E66558" w:rsidTr="00DC1212" w14:paraId="2A7D551D" w14:textId="77777777">
        <w:tc>
          <w:tcPr>
            <w:tcW w:w="2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F11C4C" w:rsidP="00C31636" w:rsidRDefault="00CC576E" w14:paraId="77768757" w14:textId="77777777">
            <w:pPr>
              <w:pStyle w:val="TableRow"/>
              <w:ind w:left="0" w:right="0"/>
              <w:rPr>
                <w:i/>
                <w:iCs/>
                <w:sz w:val="22"/>
                <w:szCs w:val="22"/>
              </w:rPr>
            </w:pPr>
            <w:r w:rsidRPr="001F3EEE">
              <w:rPr>
                <w:i/>
                <w:iCs/>
                <w:sz w:val="22"/>
                <w:szCs w:val="22"/>
              </w:rPr>
              <w:t xml:space="preserve">Implement a coaching model to </w:t>
            </w:r>
            <w:r w:rsidR="00F11C4C">
              <w:rPr>
                <w:i/>
                <w:iCs/>
                <w:sz w:val="22"/>
                <w:szCs w:val="22"/>
              </w:rPr>
              <w:t>improve</w:t>
            </w:r>
            <w:r w:rsidRPr="001F3EEE">
              <w:rPr>
                <w:i/>
                <w:iCs/>
                <w:sz w:val="22"/>
                <w:szCs w:val="22"/>
              </w:rPr>
              <w:t xml:space="preserve"> the quality of teaching.</w:t>
            </w:r>
          </w:p>
          <w:p w:rsidRPr="001F3EEE" w:rsidR="00E66558" w:rsidP="00C31636" w:rsidRDefault="00CC576E" w14:paraId="50560B9C" w14:textId="05C26B5A">
            <w:pPr>
              <w:pStyle w:val="TableRow"/>
              <w:ind w:left="0" w:right="0"/>
              <w:rPr>
                <w:i/>
                <w:iCs/>
                <w:sz w:val="22"/>
                <w:szCs w:val="22"/>
              </w:rPr>
            </w:pPr>
            <w:r w:rsidRPr="001F3EEE">
              <w:rPr>
                <w:i/>
                <w:iCs/>
                <w:sz w:val="22"/>
                <w:szCs w:val="22"/>
              </w:rPr>
              <w:t xml:space="preserve">This will involve the use of Step lab and the introduction of the Felix way lesson structure. </w:t>
            </w:r>
          </w:p>
          <w:p w:rsidRPr="001F3EEE" w:rsidR="00DC1212" w:rsidP="00C31636" w:rsidRDefault="00DC1212" w14:paraId="2A58FCCF" w14:textId="77777777">
            <w:pPr>
              <w:pStyle w:val="TableRow"/>
              <w:ind w:left="0" w:right="0"/>
              <w:rPr>
                <w:iCs/>
                <w:sz w:val="22"/>
                <w:szCs w:val="22"/>
              </w:rPr>
            </w:pPr>
          </w:p>
          <w:p w:rsidRPr="001F3EEE" w:rsidR="00DC1212" w:rsidP="00C31636" w:rsidRDefault="00DC1212" w14:paraId="2A7D551A" w14:textId="12FA404A">
            <w:pPr>
              <w:pStyle w:val="TableRow"/>
              <w:ind w:left="0" w:right="0"/>
              <w:rPr>
                <w:sz w:val="22"/>
                <w:szCs w:val="22"/>
              </w:rPr>
            </w:pPr>
          </w:p>
        </w:tc>
        <w:tc>
          <w:tcPr>
            <w:tcW w:w="5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0A028D" w14:paraId="40FD2721" w14:textId="517639C3">
            <w:pPr>
              <w:pStyle w:val="TableRowCentered"/>
              <w:ind w:left="0" w:right="0"/>
              <w:jc w:val="left"/>
              <w:rPr>
                <w:sz w:val="22"/>
                <w:szCs w:val="22"/>
              </w:rPr>
            </w:pPr>
            <w:r w:rsidRPr="001F3EEE">
              <w:rPr>
                <w:sz w:val="22"/>
                <w:szCs w:val="22"/>
              </w:rPr>
              <w:t>EEF “Effective Professional Development guidance”</w:t>
            </w:r>
            <w:r w:rsidR="007C0C77">
              <w:rPr>
                <w:sz w:val="22"/>
                <w:szCs w:val="22"/>
              </w:rPr>
              <w:t xml:space="preserve"> </w:t>
            </w:r>
            <w:r w:rsidRPr="001F3EEE">
              <w:rPr>
                <w:sz w:val="22"/>
                <w:szCs w:val="22"/>
              </w:rPr>
              <w:t>report states that quality CPD should be based upon ‘mechanisms’ which- “build knowledge, motivate staff, develop teaching techniques and embed practice.”</w:t>
            </w:r>
          </w:p>
          <w:p w:rsidRPr="001F3EEE" w:rsidR="000A028D" w:rsidP="00C31636" w:rsidRDefault="000A028D" w14:paraId="1A3735FC" w14:textId="77777777">
            <w:pPr>
              <w:pStyle w:val="TableRowCentered"/>
              <w:ind w:left="0" w:right="0"/>
              <w:jc w:val="left"/>
              <w:rPr>
                <w:sz w:val="22"/>
                <w:szCs w:val="22"/>
              </w:rPr>
            </w:pPr>
          </w:p>
          <w:p w:rsidRPr="001F3EEE" w:rsidR="000A028D" w:rsidP="00C31636" w:rsidRDefault="000A028D" w14:paraId="365D300C" w14:textId="77777777">
            <w:pPr>
              <w:pStyle w:val="TableRowCentered"/>
              <w:ind w:left="0" w:right="0"/>
              <w:jc w:val="left"/>
              <w:rPr>
                <w:sz w:val="22"/>
                <w:szCs w:val="22"/>
              </w:rPr>
            </w:pPr>
            <w:r w:rsidRPr="001F3EEE">
              <w:rPr>
                <w:sz w:val="22"/>
                <w:szCs w:val="22"/>
              </w:rPr>
              <w:t>The quality of teaching is arguably the single most important thing that teachers and school leaders can focus on to make a difference in children’s learning. (Sutton Trust 2011)</w:t>
            </w:r>
          </w:p>
          <w:p w:rsidRPr="001F3EEE" w:rsidR="00B108BF" w:rsidP="00C31636" w:rsidRDefault="00B108BF" w14:paraId="651BD16D" w14:textId="77777777">
            <w:pPr>
              <w:pStyle w:val="TableRowCentered"/>
              <w:ind w:left="0" w:right="0"/>
              <w:jc w:val="left"/>
              <w:rPr>
                <w:sz w:val="22"/>
                <w:szCs w:val="22"/>
              </w:rPr>
            </w:pPr>
          </w:p>
          <w:p w:rsidRPr="001F3EEE" w:rsidR="00B108BF" w:rsidP="00C31636" w:rsidRDefault="00B108BF" w14:paraId="2A7D551B" w14:textId="0C83DBFF">
            <w:pPr>
              <w:pStyle w:val="TableRowCentered"/>
              <w:ind w:left="0" w:right="0"/>
              <w:jc w:val="left"/>
              <w:rPr>
                <w:sz w:val="22"/>
                <w:szCs w:val="22"/>
              </w:rPr>
            </w:pPr>
          </w:p>
        </w:tc>
        <w:tc>
          <w:tcPr>
            <w:tcW w:w="14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E66558" w14:paraId="2A7D551C" w14:textId="77777777">
            <w:pPr>
              <w:pStyle w:val="TableRowCentered"/>
              <w:ind w:left="0" w:right="0"/>
              <w:jc w:val="left"/>
              <w:rPr>
                <w:sz w:val="22"/>
                <w:szCs w:val="22"/>
              </w:rPr>
            </w:pPr>
          </w:p>
        </w:tc>
      </w:tr>
      <w:tr w:rsidRPr="001F3EEE" w:rsidR="00E66558" w:rsidTr="00DC1212" w14:paraId="2A7D5521" w14:textId="77777777">
        <w:tc>
          <w:tcPr>
            <w:tcW w:w="2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E66558" w:rsidP="00C31636" w:rsidRDefault="00CC576E" w14:paraId="22E9C453" w14:textId="0989C7CB">
            <w:pPr>
              <w:pStyle w:val="TableRow"/>
              <w:ind w:left="0" w:right="0"/>
              <w:rPr>
                <w:i/>
                <w:sz w:val="22"/>
                <w:szCs w:val="22"/>
              </w:rPr>
            </w:pPr>
            <w:r w:rsidRPr="001F3EEE">
              <w:rPr>
                <w:i/>
                <w:sz w:val="22"/>
                <w:szCs w:val="22"/>
              </w:rPr>
              <w:t>Phonics</w:t>
            </w:r>
            <w:r w:rsidR="00F11C4C">
              <w:rPr>
                <w:i/>
                <w:sz w:val="22"/>
                <w:szCs w:val="22"/>
              </w:rPr>
              <w:t>- improve the quality of phonics provision</w:t>
            </w:r>
            <w:r w:rsidR="00F155DB">
              <w:rPr>
                <w:i/>
                <w:sz w:val="22"/>
                <w:szCs w:val="22"/>
              </w:rPr>
              <w:t xml:space="preserve"> </w:t>
            </w:r>
            <w:proofErr w:type="gramStart"/>
            <w:r w:rsidR="00F155DB">
              <w:rPr>
                <w:i/>
                <w:sz w:val="22"/>
                <w:szCs w:val="22"/>
              </w:rPr>
              <w:t>through  high</w:t>
            </w:r>
            <w:proofErr w:type="gramEnd"/>
            <w:r w:rsidR="00F155DB">
              <w:rPr>
                <w:i/>
                <w:sz w:val="22"/>
                <w:szCs w:val="22"/>
              </w:rPr>
              <w:t xml:space="preserve"> quality RWI CPD </w:t>
            </w:r>
            <w:proofErr w:type="gramStart"/>
            <w:r w:rsidR="00F155DB">
              <w:rPr>
                <w:i/>
                <w:sz w:val="22"/>
                <w:szCs w:val="22"/>
              </w:rPr>
              <w:t>and  continual</w:t>
            </w:r>
            <w:proofErr w:type="gramEnd"/>
            <w:r w:rsidR="00F155DB">
              <w:rPr>
                <w:i/>
                <w:sz w:val="22"/>
                <w:szCs w:val="22"/>
              </w:rPr>
              <w:t xml:space="preserve"> monitoring to ensure fidelity to the scheme.   </w:t>
            </w:r>
          </w:p>
          <w:p w:rsidRPr="001F3EEE" w:rsidR="00F155DB" w:rsidP="00C31636" w:rsidRDefault="00F155DB" w14:paraId="2A7D551E" w14:textId="0B36AB72">
            <w:pPr>
              <w:pStyle w:val="TableRow"/>
              <w:ind w:left="0" w:right="0"/>
              <w:rPr>
                <w:i/>
                <w:sz w:val="22"/>
                <w:szCs w:val="22"/>
              </w:rPr>
            </w:pPr>
          </w:p>
        </w:tc>
        <w:tc>
          <w:tcPr>
            <w:tcW w:w="5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B5651F" w14:paraId="79251682" w14:textId="77777777">
            <w:pPr>
              <w:pStyle w:val="TableRowCentered"/>
              <w:ind w:left="0" w:right="0"/>
              <w:jc w:val="left"/>
              <w:rPr>
                <w:sz w:val="22"/>
                <w:szCs w:val="22"/>
              </w:rPr>
            </w:pPr>
            <w:r w:rsidRPr="001F3EEE">
              <w:rPr>
                <w:sz w:val="22"/>
                <w:szCs w:val="22"/>
              </w:rPr>
              <w:t xml:space="preserve">EEF Toolkit 1. Phonics has a positive impact overall (+5 months) with very extensive evidence and is an important component in the development of early reading skills, particularly for children from disadvantaged backgrounds. 2. The teaching of phonics should be explicit and systematic to support children in making connections between the sound patterns they hear in words and the way that these words are written. 3. The teaching of phonics should be matched to children’s current level of skill in terms of their phonemic </w:t>
            </w:r>
            <w:proofErr w:type="gramStart"/>
            <w:r w:rsidRPr="001F3EEE">
              <w:rPr>
                <w:sz w:val="22"/>
                <w:szCs w:val="22"/>
              </w:rPr>
              <w:t>awareness</w:t>
            </w:r>
            <w:proofErr w:type="gramEnd"/>
            <w:r w:rsidRPr="001F3EEE">
              <w:rPr>
                <w:sz w:val="22"/>
                <w:szCs w:val="22"/>
              </w:rPr>
              <w:t xml:space="preserve"> and their knowledge of letter sounds and patterns (graphemes). We are implementing the use of the Read, Write, Inc reading books recommended by the DfE and meeting the Ofsted Framework: “At the early stages of learning to read, reading materials are closely matched to learners’ phonics knowledge” (Ofsted Framework, updated July 2021)</w:t>
            </w:r>
          </w:p>
          <w:p w:rsidRPr="001F3EEE" w:rsidR="00910719" w:rsidP="00C31636" w:rsidRDefault="00910719" w14:paraId="2A7D551F" w14:textId="27D9AECA">
            <w:pPr>
              <w:pStyle w:val="TableRowCentered"/>
              <w:ind w:left="0" w:right="0"/>
              <w:jc w:val="left"/>
              <w:rPr>
                <w:sz w:val="22"/>
                <w:szCs w:val="22"/>
              </w:rPr>
            </w:pPr>
          </w:p>
        </w:tc>
        <w:tc>
          <w:tcPr>
            <w:tcW w:w="14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E66558" w14:paraId="2A7D5520" w14:textId="77777777">
            <w:pPr>
              <w:pStyle w:val="TableRowCentered"/>
              <w:ind w:left="0" w:right="0"/>
              <w:jc w:val="left"/>
              <w:rPr>
                <w:sz w:val="22"/>
                <w:szCs w:val="22"/>
              </w:rPr>
            </w:pPr>
          </w:p>
        </w:tc>
      </w:tr>
      <w:tr w:rsidRPr="001F3EEE" w:rsidR="00CC576E" w:rsidTr="00DC1212" w14:paraId="18A93DCD" w14:textId="77777777">
        <w:tc>
          <w:tcPr>
            <w:tcW w:w="2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31636" w:rsidRDefault="00CC576E" w14:paraId="3929B5EF" w14:textId="4B8D7B7D">
            <w:pPr>
              <w:pStyle w:val="TableRow"/>
              <w:ind w:left="0" w:right="0"/>
              <w:rPr>
                <w:i/>
                <w:sz w:val="22"/>
                <w:szCs w:val="22"/>
              </w:rPr>
            </w:pPr>
            <w:r w:rsidRPr="001F3EEE">
              <w:rPr>
                <w:i/>
                <w:sz w:val="22"/>
                <w:szCs w:val="22"/>
              </w:rPr>
              <w:t>Reading</w:t>
            </w:r>
            <w:r w:rsidR="00F155DB">
              <w:rPr>
                <w:i/>
                <w:sz w:val="22"/>
                <w:szCs w:val="22"/>
              </w:rPr>
              <w:t xml:space="preserve"> – improve the quality of the teaching of reading comprehension.</w:t>
            </w:r>
          </w:p>
        </w:tc>
        <w:tc>
          <w:tcPr>
            <w:tcW w:w="5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31636" w:rsidRDefault="0061055D" w14:paraId="10355DA8" w14:textId="5D30A824">
            <w:pPr>
              <w:pStyle w:val="TableRowCentered"/>
              <w:ind w:left="0" w:right="0"/>
              <w:jc w:val="left"/>
              <w:rPr>
                <w:sz w:val="22"/>
                <w:szCs w:val="22"/>
              </w:rPr>
            </w:pPr>
            <w:r w:rsidRPr="001F3EEE">
              <w:rPr>
                <w:sz w:val="22"/>
                <w:szCs w:val="22"/>
              </w:rPr>
              <w:t xml:space="preserve">According to the </w:t>
            </w:r>
            <w:r w:rsidRPr="001F3EEE">
              <w:rPr>
                <w:b/>
                <w:bCs/>
                <w:sz w:val="22"/>
                <w:szCs w:val="22"/>
              </w:rPr>
              <w:t>Education Endowment Foundation (EEF)</w:t>
            </w:r>
            <w:r w:rsidRPr="001F3EEE">
              <w:rPr>
                <w:sz w:val="22"/>
                <w:szCs w:val="22"/>
              </w:rPr>
              <w:t xml:space="preserve">, teaching reading comprehension strategies delivers an </w:t>
            </w:r>
            <w:r w:rsidRPr="001F3EEE">
              <w:rPr>
                <w:b/>
                <w:bCs/>
                <w:sz w:val="22"/>
                <w:szCs w:val="22"/>
              </w:rPr>
              <w:t>average of +7 months’ additional progress</w:t>
            </w:r>
            <w:r w:rsidRPr="001F3EEE">
              <w:rPr>
                <w:sz w:val="22"/>
                <w:szCs w:val="22"/>
              </w:rPr>
              <w:t xml:space="preserve"> for pupils, making it one of the most cost-effective interventions for closing the attainment gap</w:t>
            </w:r>
          </w:p>
        </w:tc>
        <w:tc>
          <w:tcPr>
            <w:tcW w:w="14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31636" w:rsidRDefault="00CC576E" w14:paraId="6A56A29D" w14:textId="77777777">
            <w:pPr>
              <w:pStyle w:val="TableRowCentered"/>
              <w:ind w:left="0" w:right="0"/>
              <w:jc w:val="left"/>
              <w:rPr>
                <w:sz w:val="22"/>
                <w:szCs w:val="22"/>
              </w:rPr>
            </w:pPr>
          </w:p>
        </w:tc>
      </w:tr>
      <w:tr w:rsidRPr="001F3EEE" w:rsidR="00CC576E" w:rsidTr="00DC1212" w14:paraId="2EABFFED" w14:textId="77777777">
        <w:tc>
          <w:tcPr>
            <w:tcW w:w="2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31636" w:rsidRDefault="00CC576E" w14:paraId="61221919" w14:textId="4A38A256">
            <w:pPr>
              <w:pStyle w:val="TableRow"/>
              <w:ind w:left="0" w:right="0"/>
              <w:rPr>
                <w:i/>
                <w:sz w:val="22"/>
                <w:szCs w:val="22"/>
              </w:rPr>
            </w:pPr>
            <w:r w:rsidRPr="001F3EEE">
              <w:rPr>
                <w:i/>
                <w:sz w:val="22"/>
                <w:szCs w:val="22"/>
              </w:rPr>
              <w:t>Writing</w:t>
            </w:r>
            <w:r w:rsidRPr="001F3EEE" w:rsidR="0061055D">
              <w:rPr>
                <w:i/>
                <w:sz w:val="22"/>
                <w:szCs w:val="22"/>
              </w:rPr>
              <w:t xml:space="preserve"> (foundational knowledge)</w:t>
            </w:r>
          </w:p>
        </w:tc>
        <w:tc>
          <w:tcPr>
            <w:tcW w:w="5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FA0A06" w:rsidP="00FA0A06" w:rsidRDefault="00FA0A06" w14:paraId="54144A53" w14:textId="35E4FD41">
            <w:pPr>
              <w:pStyle w:val="TableRowCentered"/>
              <w:jc w:val="left"/>
              <w:rPr>
                <w:sz w:val="22"/>
                <w:szCs w:val="22"/>
              </w:rPr>
            </w:pPr>
            <w:r w:rsidRPr="00FA0A06">
              <w:rPr>
                <w:sz w:val="22"/>
                <w:szCs w:val="22"/>
              </w:rPr>
              <w:t>Fluent writing supports composition because pupils’ cognitive resources are freed from focusing on handwriting, spelling, and sentence construction and can be redirected towards writing composition.”</w:t>
            </w:r>
            <w:r w:rsidRPr="00FA0A06">
              <w:rPr>
                <w:sz w:val="22"/>
                <w:szCs w:val="22"/>
              </w:rPr>
              <w:br/>
            </w:r>
            <w:r w:rsidRPr="00FA0A06">
              <w:rPr>
                <w:sz w:val="22"/>
                <w:szCs w:val="22"/>
              </w:rPr>
              <w:t>Extensive practice and explicit teaching of transcription skills (spelling and handwriting) are recommended to build fluency.</w:t>
            </w:r>
          </w:p>
          <w:p w:rsidRPr="00FA0A06" w:rsidR="00FA0A06" w:rsidP="00FA0A06" w:rsidRDefault="00FA0A06" w14:paraId="6FE06D58" w14:textId="77777777">
            <w:pPr>
              <w:pStyle w:val="TableRowCentered"/>
              <w:jc w:val="left"/>
              <w:rPr>
                <w:sz w:val="22"/>
                <w:szCs w:val="22"/>
              </w:rPr>
            </w:pPr>
          </w:p>
          <w:p w:rsidRPr="001F3EEE" w:rsidR="00CC576E" w:rsidP="00FA0A06" w:rsidRDefault="00FA0A06" w14:paraId="7429BC87" w14:textId="2D6CC9B9">
            <w:pPr>
              <w:pStyle w:val="TableRowCentered"/>
              <w:ind w:left="0" w:right="0"/>
              <w:jc w:val="left"/>
              <w:rPr>
                <w:sz w:val="22"/>
                <w:szCs w:val="22"/>
              </w:rPr>
            </w:pPr>
            <w:r w:rsidRPr="001F3EEE">
              <w:rPr>
                <w:sz w:val="22"/>
                <w:szCs w:val="22"/>
              </w:rPr>
              <w:t>Research confirms that explicit spelling instruction combined with practice significantly improves writing quality and accuracy, especially for struggling writers.</w:t>
            </w:r>
          </w:p>
        </w:tc>
        <w:tc>
          <w:tcPr>
            <w:tcW w:w="14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31636" w:rsidRDefault="00CC576E" w14:paraId="00328F31" w14:textId="77777777">
            <w:pPr>
              <w:pStyle w:val="TableRowCentered"/>
              <w:ind w:left="0" w:right="0"/>
              <w:jc w:val="left"/>
              <w:rPr>
                <w:sz w:val="22"/>
                <w:szCs w:val="22"/>
              </w:rPr>
            </w:pPr>
          </w:p>
        </w:tc>
      </w:tr>
      <w:tr w:rsidRPr="001F3EEE" w:rsidR="00CC576E" w:rsidTr="00DC1212" w14:paraId="08204EBF" w14:textId="77777777">
        <w:tc>
          <w:tcPr>
            <w:tcW w:w="2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31636" w:rsidRDefault="00CC576E" w14:paraId="4034183E" w14:textId="582EACB9">
            <w:pPr>
              <w:pStyle w:val="TableRow"/>
              <w:ind w:left="0" w:right="0"/>
              <w:rPr>
                <w:i/>
                <w:sz w:val="22"/>
                <w:szCs w:val="22"/>
              </w:rPr>
            </w:pPr>
            <w:r w:rsidRPr="001F3EEE">
              <w:rPr>
                <w:i/>
                <w:sz w:val="22"/>
                <w:szCs w:val="22"/>
              </w:rPr>
              <w:t>Maths</w:t>
            </w:r>
            <w:r w:rsidRPr="001F3EEE" w:rsidR="0061055D">
              <w:rPr>
                <w:i/>
                <w:sz w:val="22"/>
                <w:szCs w:val="22"/>
              </w:rPr>
              <w:t xml:space="preserve"> (foundational knowledge)</w:t>
            </w:r>
          </w:p>
        </w:tc>
        <w:tc>
          <w:tcPr>
            <w:tcW w:w="5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31636" w:rsidRDefault="00142780" w14:paraId="2992C7E9" w14:textId="7DE13479">
            <w:pPr>
              <w:pStyle w:val="TableRowCentered"/>
              <w:ind w:left="0" w:right="0"/>
              <w:jc w:val="left"/>
              <w:rPr>
                <w:sz w:val="22"/>
                <w:szCs w:val="22"/>
              </w:rPr>
            </w:pPr>
            <w:r w:rsidRPr="001F3EEE">
              <w:rPr>
                <w:sz w:val="22"/>
                <w:szCs w:val="22"/>
              </w:rPr>
              <w:t xml:space="preserve">EEF guidance recommends manipulatives as powerful tools for supporting conceptual understanding, especially for disadvantaged and SEND pupils. They help pupils </w:t>
            </w:r>
            <w:r w:rsidRPr="001F3EEE">
              <w:rPr>
                <w:b/>
                <w:bCs/>
                <w:sz w:val="22"/>
                <w:szCs w:val="22"/>
              </w:rPr>
              <w:t>“</w:t>
            </w:r>
            <w:r w:rsidRPr="001F3EEE">
              <w:rPr>
                <w:sz w:val="22"/>
                <w:szCs w:val="22"/>
              </w:rPr>
              <w:t>see” the maths, externalise their thinking, and communicate reasoning.</w:t>
            </w:r>
          </w:p>
        </w:tc>
        <w:tc>
          <w:tcPr>
            <w:tcW w:w="14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31636" w:rsidRDefault="00CC576E" w14:paraId="7F0BF0C2" w14:textId="77777777">
            <w:pPr>
              <w:pStyle w:val="TableRowCentered"/>
              <w:ind w:left="0" w:right="0"/>
              <w:jc w:val="left"/>
              <w:rPr>
                <w:sz w:val="22"/>
                <w:szCs w:val="22"/>
              </w:rPr>
            </w:pPr>
          </w:p>
        </w:tc>
      </w:tr>
      <w:tr w:rsidRPr="001F3EEE" w:rsidR="00CC576E" w:rsidTr="00DC1212" w14:paraId="4593A72F" w14:textId="77777777">
        <w:tc>
          <w:tcPr>
            <w:tcW w:w="2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31636" w:rsidRDefault="00CC576E" w14:paraId="78ABCC2D" w14:textId="7A56A833">
            <w:pPr>
              <w:pStyle w:val="TableRow"/>
              <w:ind w:left="0" w:right="0"/>
              <w:rPr>
                <w:i/>
                <w:sz w:val="22"/>
                <w:szCs w:val="22"/>
              </w:rPr>
            </w:pPr>
            <w:r w:rsidRPr="001F3EEE">
              <w:rPr>
                <w:i/>
                <w:sz w:val="22"/>
                <w:szCs w:val="22"/>
              </w:rPr>
              <w:t xml:space="preserve">Foundational knowledge </w:t>
            </w:r>
          </w:p>
        </w:tc>
        <w:tc>
          <w:tcPr>
            <w:tcW w:w="59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31636" w:rsidRDefault="00055A21" w14:paraId="641EA056" w14:textId="77777777">
            <w:pPr>
              <w:pStyle w:val="TableRowCentered"/>
              <w:ind w:left="0" w:right="0"/>
              <w:jc w:val="left"/>
              <w:rPr>
                <w:sz w:val="22"/>
                <w:szCs w:val="22"/>
              </w:rPr>
            </w:pPr>
            <w:r w:rsidRPr="001F3EEE">
              <w:rPr>
                <w:sz w:val="22"/>
                <w:szCs w:val="22"/>
              </w:rPr>
              <w:t>The Education Endowment Foundation (EEF) highlights that prior knowledge is one of the most crucial factors influencing a person’s ability to learn. Pupils make sense of new ideas by connecting them to what they already know. Without strong foundations, misconceptions are more likely to occur, and learning becomes fragmented.</w:t>
            </w:r>
          </w:p>
          <w:p w:rsidRPr="001F3EEE" w:rsidR="00F41735" w:rsidP="00C31636" w:rsidRDefault="00F41735" w14:paraId="6010245D" w14:textId="77777777">
            <w:pPr>
              <w:pStyle w:val="TableRowCentered"/>
              <w:ind w:left="0" w:right="0"/>
              <w:jc w:val="left"/>
              <w:rPr>
                <w:sz w:val="22"/>
                <w:szCs w:val="22"/>
              </w:rPr>
            </w:pPr>
          </w:p>
          <w:p w:rsidRPr="001F3EEE" w:rsidR="00F41735" w:rsidP="00C31636" w:rsidRDefault="00F41735" w14:paraId="71C4C831" w14:textId="0A4B95F9">
            <w:pPr>
              <w:pStyle w:val="TableRowCentered"/>
              <w:ind w:left="0" w:right="0"/>
              <w:jc w:val="left"/>
              <w:rPr>
                <w:sz w:val="22"/>
                <w:szCs w:val="22"/>
              </w:rPr>
            </w:pPr>
            <w:r w:rsidRPr="001F3EEE">
              <w:rPr>
                <w:sz w:val="22"/>
                <w:szCs w:val="22"/>
              </w:rPr>
              <w:t xml:space="preserve">Committing key facts to long-term memory helps pupils integrate new ideas into existing mental models (schemata), supporting deeper understanding and progression to complex </w:t>
            </w:r>
            <w:proofErr w:type="spellStart"/>
            <w:r w:rsidRPr="001F3EEE">
              <w:rPr>
                <w:sz w:val="22"/>
                <w:szCs w:val="22"/>
              </w:rPr>
              <w:t>concep</w:t>
            </w:r>
            <w:proofErr w:type="spellEnd"/>
          </w:p>
        </w:tc>
        <w:tc>
          <w:tcPr>
            <w:tcW w:w="14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CC576E" w:rsidP="00C31636" w:rsidRDefault="00CC576E" w14:paraId="2540E4BB" w14:textId="77777777">
            <w:pPr>
              <w:pStyle w:val="TableRowCentered"/>
              <w:ind w:left="0" w:right="0"/>
              <w:jc w:val="left"/>
              <w:rPr>
                <w:sz w:val="22"/>
                <w:szCs w:val="22"/>
              </w:rPr>
            </w:pPr>
          </w:p>
        </w:tc>
      </w:tr>
    </w:tbl>
    <w:p w:rsidRPr="001F3EEE" w:rsidR="00E66558" w:rsidP="00ED5108" w:rsidRDefault="00E66558" w14:paraId="2A7D5522" w14:textId="77777777">
      <w:pPr>
        <w:rPr>
          <w:sz w:val="22"/>
          <w:szCs w:val="22"/>
        </w:rPr>
      </w:pPr>
    </w:p>
    <w:p w:rsidRPr="001F3EEE" w:rsidR="00E66558" w:rsidP="00AA355B" w:rsidRDefault="009D71E8" w14:paraId="2A7D5523" w14:textId="5B2BE35F">
      <w:pPr>
        <w:pStyle w:val="Heading3"/>
        <w:rPr>
          <w:sz w:val="22"/>
          <w:szCs w:val="22"/>
        </w:rPr>
      </w:pPr>
      <w:r w:rsidRPr="001F3EEE">
        <w:rPr>
          <w:sz w:val="22"/>
          <w:szCs w:val="22"/>
        </w:rPr>
        <w:t xml:space="preserve">Targeted academic support (for example, </w:t>
      </w:r>
      <w:r w:rsidRPr="001F3EEE" w:rsidR="00D33FE5">
        <w:rPr>
          <w:sz w:val="22"/>
          <w:szCs w:val="22"/>
        </w:rPr>
        <w:t>tutoring, one-to-one support</w:t>
      </w:r>
      <w:r w:rsidRPr="001F3EEE" w:rsidR="00F776E1">
        <w:rPr>
          <w:sz w:val="22"/>
          <w:szCs w:val="22"/>
        </w:rPr>
        <w:t>,</w:t>
      </w:r>
      <w:r w:rsidRPr="001F3EEE" w:rsidR="00D33FE5">
        <w:rPr>
          <w:sz w:val="22"/>
          <w:szCs w:val="22"/>
        </w:rPr>
        <w:t xml:space="preserve"> </w:t>
      </w:r>
      <w:r w:rsidRPr="001F3EEE">
        <w:rPr>
          <w:sz w:val="22"/>
          <w:szCs w:val="22"/>
        </w:rPr>
        <w:t xml:space="preserve">structured interventions) </w:t>
      </w:r>
    </w:p>
    <w:p w:rsidRPr="001F3EEE" w:rsidR="00E66558" w:rsidRDefault="009D71E8" w14:paraId="2A7D5524" w14:textId="378580B0">
      <w:pPr>
        <w:rPr>
          <w:sz w:val="22"/>
          <w:szCs w:val="22"/>
        </w:rPr>
      </w:pPr>
      <w:r w:rsidRPr="001F3EEE">
        <w:rPr>
          <w:sz w:val="22"/>
          <w:szCs w:val="22"/>
        </w:rPr>
        <w:t>Budgeted cost: £</w:t>
      </w:r>
      <w:r w:rsidR="008D64B8">
        <w:rPr>
          <w:sz w:val="22"/>
          <w:szCs w:val="22"/>
        </w:rPr>
        <w:t>9,428</w:t>
      </w:r>
    </w:p>
    <w:tbl>
      <w:tblPr>
        <w:tblW w:w="5000" w:type="pct"/>
        <w:tblCellMar>
          <w:left w:w="10" w:type="dxa"/>
          <w:right w:w="10" w:type="dxa"/>
        </w:tblCellMar>
        <w:tblLook w:val="04A0" w:firstRow="1" w:lastRow="0" w:firstColumn="1" w:lastColumn="0" w:noHBand="0" w:noVBand="1"/>
      </w:tblPr>
      <w:tblGrid>
        <w:gridCol w:w="2688"/>
        <w:gridCol w:w="4962"/>
        <w:gridCol w:w="1836"/>
      </w:tblGrid>
      <w:tr w:rsidRPr="001F3EEE" w:rsidR="00E66558" w:rsidTr="00F155DB" w14:paraId="2A7D5528" w14:textId="77777777">
        <w:tc>
          <w:tcPr>
            <w:tcW w:w="2688"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1F3EEE" w:rsidR="00E66558" w:rsidP="00C31636" w:rsidRDefault="009D71E8" w14:paraId="2A7D5525" w14:textId="77777777">
            <w:pPr>
              <w:pStyle w:val="TableHeader"/>
              <w:ind w:left="0" w:right="0"/>
              <w:jc w:val="left"/>
              <w:rPr>
                <w:sz w:val="22"/>
                <w:szCs w:val="22"/>
              </w:rPr>
            </w:pPr>
            <w:r w:rsidRPr="001F3EEE">
              <w:rPr>
                <w:sz w:val="22"/>
                <w:szCs w:val="22"/>
              </w:rPr>
              <w:t>Activity</w:t>
            </w:r>
          </w:p>
        </w:tc>
        <w:tc>
          <w:tcPr>
            <w:tcW w:w="4962"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1F3EEE" w:rsidR="00E66558" w:rsidP="00C31636" w:rsidRDefault="009D71E8" w14:paraId="2A7D5526" w14:textId="77777777">
            <w:pPr>
              <w:pStyle w:val="TableHeader"/>
              <w:ind w:left="0" w:right="0"/>
              <w:jc w:val="left"/>
              <w:rPr>
                <w:sz w:val="22"/>
                <w:szCs w:val="22"/>
              </w:rPr>
            </w:pPr>
            <w:r w:rsidRPr="001F3EEE">
              <w:rPr>
                <w:sz w:val="22"/>
                <w:szCs w:val="22"/>
              </w:rPr>
              <w:t>Evidence that supports this approach</w:t>
            </w:r>
          </w:p>
        </w:tc>
        <w:tc>
          <w:tcPr>
            <w:tcW w:w="1836"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1F3EEE" w:rsidR="00E66558" w:rsidP="00C31636" w:rsidRDefault="009D71E8" w14:paraId="2A7D5527" w14:textId="77777777">
            <w:pPr>
              <w:pStyle w:val="TableHeader"/>
              <w:ind w:left="0" w:right="0"/>
              <w:jc w:val="left"/>
              <w:rPr>
                <w:sz w:val="22"/>
                <w:szCs w:val="22"/>
              </w:rPr>
            </w:pPr>
            <w:r w:rsidRPr="001F3EEE">
              <w:rPr>
                <w:sz w:val="22"/>
                <w:szCs w:val="22"/>
              </w:rPr>
              <w:t>Challenge number(s) addressed</w:t>
            </w:r>
          </w:p>
        </w:tc>
      </w:tr>
      <w:tr w:rsidRPr="001F3EEE" w:rsidR="00E66558" w:rsidTr="00F155DB" w14:paraId="2A7D552C"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4D3158" w14:paraId="2A7D5529" w14:textId="34112594">
            <w:pPr>
              <w:pStyle w:val="TableRow"/>
              <w:ind w:left="0" w:right="0"/>
              <w:rPr>
                <w:sz w:val="22"/>
                <w:szCs w:val="22"/>
              </w:rPr>
            </w:pPr>
            <w:r w:rsidRPr="001F3EEE">
              <w:rPr>
                <w:sz w:val="22"/>
                <w:szCs w:val="22"/>
              </w:rPr>
              <w:t>THRIVE interventions</w:t>
            </w:r>
          </w:p>
        </w:tc>
        <w:tc>
          <w:tcPr>
            <w:tcW w:w="4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472ABD" w14:paraId="2A7D552A" w14:textId="2CFBA432">
            <w:pPr>
              <w:pStyle w:val="TableRowCentered"/>
              <w:ind w:left="0" w:right="0"/>
              <w:jc w:val="left"/>
              <w:rPr>
                <w:sz w:val="22"/>
                <w:szCs w:val="22"/>
              </w:rPr>
            </w:pPr>
            <w:r w:rsidRPr="001F3EEE">
              <w:rPr>
                <w:sz w:val="22"/>
                <w:szCs w:val="22"/>
              </w:rPr>
              <w:t>Thrive is a whole-school strategy rooted in neuroscience and child development theory, designed to help pupils regulate emotions and build resilience. It combines universal and targeted interventions to support mental health and readiness to learn</w:t>
            </w:r>
          </w:p>
        </w:tc>
        <w:tc>
          <w:tcPr>
            <w:tcW w:w="1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E66558" w14:paraId="2A7D552B" w14:textId="77777777">
            <w:pPr>
              <w:pStyle w:val="TableRowCentered"/>
              <w:ind w:left="0" w:right="0"/>
              <w:jc w:val="left"/>
              <w:rPr>
                <w:sz w:val="22"/>
                <w:szCs w:val="22"/>
              </w:rPr>
            </w:pPr>
          </w:p>
        </w:tc>
      </w:tr>
      <w:tr w:rsidRPr="001F3EEE" w:rsidR="00E66558" w:rsidTr="00F155DB" w14:paraId="2A7D5530"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4D3158" w14:paraId="2A7D552D" w14:textId="15BA02C8">
            <w:pPr>
              <w:pStyle w:val="TableRow"/>
              <w:ind w:left="0" w:right="0"/>
              <w:rPr>
                <w:i/>
                <w:sz w:val="22"/>
                <w:szCs w:val="22"/>
              </w:rPr>
            </w:pPr>
            <w:r w:rsidRPr="001F3EEE">
              <w:rPr>
                <w:i/>
                <w:sz w:val="22"/>
                <w:szCs w:val="22"/>
              </w:rPr>
              <w:t>Phonics catch up programme</w:t>
            </w:r>
          </w:p>
        </w:tc>
        <w:tc>
          <w:tcPr>
            <w:tcW w:w="4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1F7848" w14:paraId="2A7D552E" w14:textId="6C424B9A">
            <w:pPr>
              <w:pStyle w:val="TableRowCentered"/>
              <w:ind w:left="0" w:right="0"/>
              <w:jc w:val="left"/>
              <w:rPr>
                <w:sz w:val="22"/>
                <w:szCs w:val="22"/>
              </w:rPr>
            </w:pPr>
            <w:r w:rsidRPr="001F3EEE">
              <w:rPr>
                <w:sz w:val="22"/>
                <w:szCs w:val="22"/>
              </w:rPr>
              <w:t xml:space="preserve">EEF (2018) suggests there is evidence that early literacy programmes that include activities related to phonemic awareness and phonics </w:t>
            </w:r>
            <w:r w:rsidRPr="001F3EEE">
              <w:rPr>
                <w:sz w:val="22"/>
                <w:szCs w:val="22"/>
              </w:rPr>
              <w:t>skills lead to better literacy outcomes than programmes without these components</w:t>
            </w:r>
          </w:p>
        </w:tc>
        <w:tc>
          <w:tcPr>
            <w:tcW w:w="1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C31636" w:rsidRDefault="00E66558" w14:paraId="2A7D552F" w14:textId="77777777">
            <w:pPr>
              <w:pStyle w:val="TableRowCentered"/>
              <w:ind w:left="0" w:right="0"/>
              <w:jc w:val="left"/>
              <w:rPr>
                <w:sz w:val="22"/>
                <w:szCs w:val="22"/>
              </w:rPr>
            </w:pPr>
          </w:p>
        </w:tc>
      </w:tr>
      <w:tr w:rsidRPr="001F3EEE" w:rsidR="00DA1A18" w:rsidTr="00F155DB" w14:paraId="18EC0710" w14:textId="77777777">
        <w:tc>
          <w:tcPr>
            <w:tcW w:w="26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DA1A18" w:rsidP="00C31636" w:rsidRDefault="00DA1A18" w14:paraId="2B4117CC" w14:textId="0E05D509">
            <w:pPr>
              <w:pStyle w:val="TableRow"/>
              <w:ind w:left="0" w:right="0"/>
              <w:rPr>
                <w:i/>
                <w:sz w:val="22"/>
                <w:szCs w:val="22"/>
              </w:rPr>
            </w:pPr>
            <w:proofErr w:type="spellStart"/>
            <w:r w:rsidRPr="001F3EEE">
              <w:rPr>
                <w:i/>
                <w:sz w:val="22"/>
                <w:szCs w:val="22"/>
              </w:rPr>
              <w:t>Welcomm</w:t>
            </w:r>
            <w:proofErr w:type="spellEnd"/>
          </w:p>
        </w:tc>
        <w:tc>
          <w:tcPr>
            <w:tcW w:w="4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DA1A18" w:rsidP="00C31636" w:rsidRDefault="00DA1A18" w14:paraId="7B3AB38A" w14:textId="6009BD29">
            <w:pPr>
              <w:pStyle w:val="TableRowCentered"/>
              <w:ind w:left="0" w:right="0"/>
              <w:jc w:val="left"/>
              <w:rPr>
                <w:sz w:val="22"/>
                <w:szCs w:val="22"/>
              </w:rPr>
            </w:pPr>
            <w:r w:rsidRPr="001F3EEE">
              <w:rPr>
                <w:sz w:val="22"/>
                <w:szCs w:val="22"/>
              </w:rPr>
              <w:t xml:space="preserve">‘Delayed language skills lead to under-performance later in life, yet many primary school children have unidentified speech and language difficulties. </w:t>
            </w:r>
            <w:proofErr w:type="spellStart"/>
            <w:r w:rsidRPr="001F3EEE">
              <w:rPr>
                <w:sz w:val="22"/>
                <w:szCs w:val="22"/>
              </w:rPr>
              <w:t>WellComm</w:t>
            </w:r>
            <w:proofErr w:type="spellEnd"/>
            <w:r w:rsidRPr="001F3EEE">
              <w:rPr>
                <w:sz w:val="22"/>
                <w:szCs w:val="22"/>
              </w:rPr>
              <w:t xml:space="preserve"> can help you to turn this around.’ ‘Overall, studies of communication and language approaches consistently show positive benefits for young children’s learning, including their spoken language skills, their expressive vocabulary, and their early reading skills. On average, children who are involved in communication and language approaches make approximately six months’ additional progress over the course of a year’ EEF Toolkit</w:t>
            </w:r>
          </w:p>
        </w:tc>
        <w:tc>
          <w:tcPr>
            <w:tcW w:w="18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DA1A18" w:rsidP="00C31636" w:rsidRDefault="00DA1A18" w14:paraId="1606AB73" w14:textId="77777777">
            <w:pPr>
              <w:pStyle w:val="TableRowCentered"/>
              <w:ind w:left="0" w:right="0"/>
              <w:jc w:val="left"/>
              <w:rPr>
                <w:sz w:val="22"/>
                <w:szCs w:val="22"/>
              </w:rPr>
            </w:pPr>
          </w:p>
        </w:tc>
      </w:tr>
    </w:tbl>
    <w:p w:rsidRPr="001F3EEE" w:rsidR="00E66558" w:rsidP="00AA355B" w:rsidRDefault="00E66558" w14:paraId="2A7D5531" w14:textId="77777777">
      <w:pPr>
        <w:rPr>
          <w:sz w:val="22"/>
          <w:szCs w:val="22"/>
        </w:rPr>
      </w:pPr>
    </w:p>
    <w:p w:rsidRPr="001F3EEE" w:rsidR="00E66558" w:rsidP="00AA355B" w:rsidRDefault="009D71E8" w14:paraId="2A7D5532" w14:textId="59A68BC3">
      <w:pPr>
        <w:pStyle w:val="Heading3"/>
        <w:rPr>
          <w:sz w:val="22"/>
          <w:szCs w:val="22"/>
        </w:rPr>
      </w:pPr>
      <w:r w:rsidRPr="001F3EEE">
        <w:rPr>
          <w:sz w:val="22"/>
          <w:szCs w:val="22"/>
        </w:rPr>
        <w:t>Wider strategies (for example, related to attendance, behaviour, wellbeing)</w:t>
      </w:r>
    </w:p>
    <w:p w:rsidRPr="001F3EEE" w:rsidR="00E66558" w:rsidRDefault="009D71E8" w14:paraId="2A7D5533" w14:textId="4841D9AD">
      <w:pPr>
        <w:spacing w:before="240" w:after="120"/>
        <w:rPr>
          <w:sz w:val="22"/>
          <w:szCs w:val="22"/>
        </w:rPr>
      </w:pPr>
      <w:r w:rsidRPr="001F3EEE">
        <w:rPr>
          <w:sz w:val="22"/>
          <w:szCs w:val="22"/>
        </w:rPr>
        <w:t>Budgeted cost: £</w:t>
      </w:r>
      <w:r w:rsidR="008D64B8">
        <w:rPr>
          <w:sz w:val="22"/>
          <w:szCs w:val="22"/>
        </w:rPr>
        <w:t>61,652</w:t>
      </w:r>
    </w:p>
    <w:tbl>
      <w:tblPr>
        <w:tblW w:w="5000" w:type="pct"/>
        <w:tblCellMar>
          <w:left w:w="10" w:type="dxa"/>
          <w:right w:w="10" w:type="dxa"/>
        </w:tblCellMar>
        <w:tblLook w:val="04A0" w:firstRow="1" w:lastRow="0" w:firstColumn="1" w:lastColumn="0" w:noHBand="0" w:noVBand="1"/>
      </w:tblPr>
      <w:tblGrid>
        <w:gridCol w:w="2688"/>
        <w:gridCol w:w="4254"/>
        <w:gridCol w:w="2544"/>
      </w:tblGrid>
      <w:tr w:rsidRPr="001F3EEE" w:rsidR="00E66558" w:rsidTr="4FA8DA1E"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1F3EEE" w:rsidR="00E66558" w:rsidP="00C31636" w:rsidRDefault="009D71E8" w14:paraId="2A7D5534" w14:textId="77777777">
            <w:pPr>
              <w:pStyle w:val="TableHeader"/>
              <w:ind w:left="0" w:right="0"/>
              <w:jc w:val="left"/>
              <w:rPr>
                <w:sz w:val="22"/>
                <w:szCs w:val="22"/>
              </w:rPr>
            </w:pPr>
            <w:r w:rsidRPr="001F3EEE">
              <w:rPr>
                <w:sz w:val="22"/>
                <w:szCs w:val="22"/>
              </w:rP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1F3EEE" w:rsidR="00E66558" w:rsidP="00C31636" w:rsidRDefault="009D71E8" w14:paraId="2A7D5535" w14:textId="77777777">
            <w:pPr>
              <w:pStyle w:val="TableHeader"/>
              <w:ind w:left="0" w:right="0"/>
              <w:jc w:val="left"/>
              <w:rPr>
                <w:sz w:val="22"/>
                <w:szCs w:val="22"/>
              </w:rPr>
            </w:pPr>
            <w:r w:rsidRPr="001F3EEE">
              <w:rPr>
                <w:sz w:val="22"/>
                <w:szCs w:val="22"/>
              </w:rP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Pr="001F3EEE" w:rsidR="00E66558" w:rsidP="00C31636" w:rsidRDefault="009D71E8" w14:paraId="2A7D5536" w14:textId="77777777">
            <w:pPr>
              <w:pStyle w:val="TableHeader"/>
              <w:ind w:left="0" w:right="0"/>
              <w:jc w:val="left"/>
              <w:rPr>
                <w:sz w:val="22"/>
                <w:szCs w:val="22"/>
              </w:rPr>
            </w:pPr>
            <w:r w:rsidRPr="001F3EEE">
              <w:rPr>
                <w:sz w:val="22"/>
                <w:szCs w:val="22"/>
              </w:rPr>
              <w:t>Challenge number(s) addressed</w:t>
            </w:r>
          </w:p>
        </w:tc>
      </w:tr>
      <w:tr w:rsidRPr="001F3EEE" w:rsidR="00E66558" w:rsidTr="4FA8DA1E"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E66558" w:rsidP="00C31636" w:rsidRDefault="00F33FA7" w14:paraId="2A7D5538" w14:textId="71D9BF96">
            <w:pPr>
              <w:pStyle w:val="TableRow"/>
              <w:ind w:left="0" w:right="0"/>
              <w:rPr>
                <w:sz w:val="22"/>
                <w:szCs w:val="22"/>
              </w:rPr>
            </w:pPr>
            <w:r w:rsidRPr="001F3EEE">
              <w:rPr>
                <w:i/>
                <w:iCs/>
                <w:sz w:val="22"/>
                <w:szCs w:val="22"/>
              </w:rPr>
              <w:t>Enrichment activities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E66558" w:rsidP="00C31636" w:rsidRDefault="00F33FA7" w14:paraId="2A7D5539" w14:textId="43724E17">
            <w:pPr>
              <w:pStyle w:val="TableRowCentered"/>
              <w:ind w:left="0" w:right="0"/>
              <w:jc w:val="left"/>
              <w:rPr>
                <w:sz w:val="22"/>
                <w:szCs w:val="22"/>
              </w:rPr>
            </w:pPr>
            <w:r w:rsidRPr="001F3EEE">
              <w:rPr>
                <w:sz w:val="22"/>
                <w:szCs w:val="22"/>
              </w:rPr>
              <w:t>Studies of communication and language approaches consistently show positive benefits for young children’s learning, including their spoken language skills, their expressive vocabulary and their early reading skills. On average, children who are involved in communication and language approaches make approximately six months’ additional progress over the course of a year. (EEF)</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E66558" w:rsidP="00C31636" w:rsidRDefault="00E66558" w14:paraId="2A7D553A" w14:textId="77777777">
            <w:pPr>
              <w:pStyle w:val="TableRowCentered"/>
              <w:ind w:left="0" w:right="0"/>
              <w:jc w:val="left"/>
              <w:rPr>
                <w:sz w:val="22"/>
                <w:szCs w:val="22"/>
              </w:rPr>
            </w:pPr>
          </w:p>
        </w:tc>
      </w:tr>
      <w:tr w:rsidRPr="001F3EEE" w:rsidR="00E66558" w:rsidTr="4FA8DA1E" w14:paraId="2A7D553F"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E66558" w:rsidP="00C31636" w:rsidRDefault="00F33FA7" w14:paraId="2A7D553C" w14:textId="24B21F90">
            <w:pPr>
              <w:pStyle w:val="TableRow"/>
              <w:ind w:left="0" w:right="0"/>
              <w:rPr>
                <w:i/>
                <w:sz w:val="22"/>
                <w:szCs w:val="22"/>
              </w:rPr>
            </w:pPr>
            <w:r w:rsidRPr="001F3EEE">
              <w:rPr>
                <w:i/>
                <w:sz w:val="22"/>
                <w:szCs w:val="22"/>
              </w:rPr>
              <w:t>Breakfast clubs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8D64B8" w:rsidP="00C31636" w:rsidRDefault="00F33FA7" w14:paraId="2A7D553D" w14:textId="40E2C701">
            <w:pPr>
              <w:pStyle w:val="TableRowCentered"/>
              <w:ind w:left="0" w:right="0"/>
              <w:jc w:val="left"/>
              <w:rPr>
                <w:sz w:val="22"/>
                <w:szCs w:val="22"/>
              </w:rPr>
            </w:pPr>
            <w:r w:rsidRPr="001F3EEE">
              <w:rPr>
                <w:sz w:val="22"/>
                <w:szCs w:val="22"/>
              </w:rPr>
              <w:t xml:space="preserve">DFE Evaluation of Breakfast Clubs in Schools with High Levels of Deprivation Research Report March 2017 Schools reported improvements in punctuality for some pupils and targeted persistent latecomers to attend the breakfast club Schools generally reported perceived improvements in concentration and in behaviour from pupils attending breakfast clubs. Some special schools reported that breakfast clubs supported learning and helped pupils to adapt to changes in their routine </w:t>
            </w:r>
            <w:r w:rsidR="008D64B8">
              <w:rPr>
                <w:sz w:val="22"/>
                <w:szCs w:val="22"/>
              </w:rPr>
              <w:t>–</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E66558" w:rsidP="00C31636" w:rsidRDefault="00E66558" w14:paraId="2A7D553E" w14:textId="77777777">
            <w:pPr>
              <w:pStyle w:val="TableRowCentered"/>
              <w:ind w:left="0" w:right="0"/>
              <w:jc w:val="left"/>
              <w:rPr>
                <w:sz w:val="22"/>
                <w:szCs w:val="22"/>
              </w:rPr>
            </w:pPr>
          </w:p>
        </w:tc>
      </w:tr>
      <w:tr w:rsidRPr="001F3EEE" w:rsidR="00F33FA7" w:rsidTr="4FA8DA1E" w14:paraId="0114D97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F33FA7" w:rsidP="4FA8DA1E" w:rsidRDefault="00044CE6" w14:paraId="28EAAF97" w14:textId="39941586">
            <w:pPr>
              <w:pStyle w:val="TableRow"/>
              <w:ind w:left="0" w:right="0"/>
              <w:rPr>
                <w:i w:val="1"/>
                <w:iCs w:val="1"/>
                <w:noProof w:val="0"/>
                <w:sz w:val="22"/>
                <w:szCs w:val="22"/>
                <w:lang w:val="en-GB"/>
              </w:rPr>
            </w:pPr>
            <w:r w:rsidRPr="4FA8DA1E" w:rsidR="3455EC58">
              <w:rPr>
                <w:i w:val="1"/>
                <w:iCs w:val="1"/>
                <w:noProof w:val="0"/>
                <w:sz w:val="22"/>
                <w:szCs w:val="22"/>
                <w:lang w:val="en-GB"/>
              </w:rPr>
              <w:t>Attendance incentives and recognition systems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F33FA7" w:rsidP="4FA8DA1E" w:rsidRDefault="00F33FA7" w14:paraId="5550E3DD" w14:textId="54AC3C3A">
            <w:pPr>
              <w:spacing w:before="240" w:beforeAutospacing="off" w:after="240" w:afterAutospacing="off"/>
              <w:ind/>
              <w:rPr>
                <w:noProof w:val="0"/>
                <w:sz w:val="22"/>
                <w:szCs w:val="22"/>
                <w:lang w:val="en-GB"/>
              </w:rPr>
            </w:pPr>
            <w:r w:rsidRPr="4FA8DA1E" w:rsidR="6062A14E">
              <w:rPr>
                <w:noProof w:val="0"/>
                <w:sz w:val="22"/>
                <w:szCs w:val="22"/>
                <w:lang w:val="en-GB"/>
              </w:rPr>
              <w:t xml:space="preserve">Research </w:t>
            </w:r>
            <w:r w:rsidRPr="4FA8DA1E" w:rsidR="6062A14E">
              <w:rPr>
                <w:noProof w:val="0"/>
                <w:sz w:val="22"/>
                <w:szCs w:val="22"/>
                <w:lang w:val="en-GB"/>
              </w:rPr>
              <w:t>indicates</w:t>
            </w:r>
            <w:r w:rsidRPr="4FA8DA1E" w:rsidR="6062A14E">
              <w:rPr>
                <w:noProof w:val="0"/>
                <w:sz w:val="22"/>
                <w:szCs w:val="22"/>
                <w:lang w:val="en-GB"/>
              </w:rPr>
              <w:t xml:space="preserve"> that </w:t>
            </w:r>
            <w:r w:rsidRPr="4FA8DA1E" w:rsidR="6062A14E">
              <w:rPr>
                <w:b w:val="0"/>
                <w:bCs w:val="0"/>
                <w:noProof w:val="0"/>
                <w:sz w:val="22"/>
                <w:szCs w:val="22"/>
                <w:lang w:val="en-GB"/>
              </w:rPr>
              <w:t>positive reinforcement and recognition</w:t>
            </w:r>
            <w:r w:rsidRPr="4FA8DA1E" w:rsidR="6062A14E">
              <w:rPr>
                <w:b w:val="0"/>
                <w:bCs w:val="0"/>
                <w:noProof w:val="0"/>
                <w:sz w:val="22"/>
                <w:szCs w:val="22"/>
                <w:lang w:val="en-GB"/>
              </w:rPr>
              <w:t xml:space="preserve"> </w:t>
            </w:r>
            <w:r w:rsidRPr="4FA8DA1E" w:rsidR="6062A14E">
              <w:rPr>
                <w:noProof w:val="0"/>
                <w:sz w:val="22"/>
                <w:szCs w:val="22"/>
                <w:lang w:val="en-GB"/>
              </w:rPr>
              <w:t xml:space="preserve">can improve attendance, particularly when combined with clear expectations and strong relationships (EEF, Improving Attendance Guidance). Attendance incentives are most effective when they are part of a wider attendance strategy that includes consistent monitoring, early intervention, parental </w:t>
            </w:r>
            <w:r w:rsidRPr="4FA8DA1E" w:rsidR="6062A14E">
              <w:rPr>
                <w:noProof w:val="0"/>
                <w:sz w:val="22"/>
                <w:szCs w:val="22"/>
                <w:lang w:val="en-GB"/>
              </w:rPr>
              <w:t>engagement</w:t>
            </w:r>
            <w:r w:rsidRPr="4FA8DA1E" w:rsidR="6062A14E">
              <w:rPr>
                <w:noProof w:val="0"/>
                <w:sz w:val="22"/>
                <w:szCs w:val="22"/>
                <w:lang w:val="en-GB"/>
              </w:rPr>
              <w:t xml:space="preserve"> and pastoral support.</w:t>
            </w:r>
          </w:p>
          <w:p w:rsidRPr="001F3EEE" w:rsidR="00F33FA7" w:rsidP="4FA8DA1E" w:rsidRDefault="00F33FA7" w14:paraId="4C382858" w14:textId="1405D503">
            <w:pPr>
              <w:spacing w:before="240" w:beforeAutospacing="off" w:after="240" w:afterAutospacing="off"/>
              <w:ind/>
              <w:rPr>
                <w:noProof w:val="0"/>
                <w:sz w:val="22"/>
                <w:szCs w:val="22"/>
                <w:lang w:val="en-GB"/>
              </w:rPr>
            </w:pPr>
            <w:r w:rsidRPr="4FA8DA1E" w:rsidR="6062A14E">
              <w:rPr>
                <w:noProof w:val="0"/>
                <w:sz w:val="22"/>
                <w:szCs w:val="22"/>
                <w:lang w:val="en-GB"/>
              </w:rPr>
              <w:t xml:space="preserve">The DfE highlights that </w:t>
            </w:r>
            <w:r w:rsidRPr="4FA8DA1E" w:rsidR="6062A14E">
              <w:rPr>
                <w:b w:val="0"/>
                <w:bCs w:val="0"/>
                <w:noProof w:val="0"/>
                <w:sz w:val="22"/>
                <w:szCs w:val="22"/>
                <w:lang w:val="en-GB"/>
              </w:rPr>
              <w:t>disadvantaged pupils are disproportionately affected by poor attendance</w:t>
            </w:r>
            <w:r w:rsidRPr="4FA8DA1E" w:rsidR="6062A14E">
              <w:rPr>
                <w:b w:val="0"/>
                <w:bCs w:val="0"/>
                <w:noProof w:val="0"/>
                <w:sz w:val="22"/>
                <w:szCs w:val="22"/>
                <w:lang w:val="en-GB"/>
              </w:rPr>
              <w:t>,</w:t>
            </w:r>
            <w:r w:rsidRPr="4FA8DA1E" w:rsidR="6062A14E">
              <w:rPr>
                <w:noProof w:val="0"/>
                <w:sz w:val="22"/>
                <w:szCs w:val="22"/>
                <w:lang w:val="en-GB"/>
              </w:rPr>
              <w:t xml:space="preserve"> which has a direct impact on academic attainment, </w:t>
            </w:r>
            <w:r w:rsidRPr="4FA8DA1E" w:rsidR="6062A14E">
              <w:rPr>
                <w:noProof w:val="0"/>
                <w:sz w:val="22"/>
                <w:szCs w:val="22"/>
                <w:lang w:val="en-GB"/>
              </w:rPr>
              <w:t>wellbeing</w:t>
            </w:r>
            <w:r w:rsidRPr="4FA8DA1E" w:rsidR="6062A14E">
              <w:rPr>
                <w:noProof w:val="0"/>
                <w:sz w:val="22"/>
                <w:szCs w:val="22"/>
                <w:lang w:val="en-GB"/>
              </w:rPr>
              <w:t xml:space="preserve"> and long-term outcomes. Schools that use</w:t>
            </w:r>
            <w:r w:rsidRPr="4FA8DA1E" w:rsidR="6062A14E">
              <w:rPr>
                <w:b w:val="0"/>
                <w:bCs w:val="0"/>
                <w:noProof w:val="0"/>
                <w:sz w:val="22"/>
                <w:szCs w:val="22"/>
                <w:lang w:val="en-GB"/>
              </w:rPr>
              <w:t xml:space="preserve"> </w:t>
            </w:r>
            <w:r w:rsidRPr="4FA8DA1E" w:rsidR="6062A14E">
              <w:rPr>
                <w:b w:val="0"/>
                <w:bCs w:val="0"/>
                <w:noProof w:val="0"/>
                <w:sz w:val="22"/>
                <w:szCs w:val="22"/>
                <w:lang w:val="en-GB"/>
              </w:rPr>
              <w:t>regular tracking, visible celebration of success and targeted rewards</w:t>
            </w:r>
            <w:r w:rsidRPr="4FA8DA1E" w:rsidR="6062A14E">
              <w:rPr>
                <w:b w:val="0"/>
                <w:bCs w:val="0"/>
                <w:noProof w:val="0"/>
                <w:sz w:val="22"/>
                <w:szCs w:val="22"/>
                <w:lang w:val="en-GB"/>
              </w:rPr>
              <w:t xml:space="preserve"> see impr</w:t>
            </w:r>
            <w:r w:rsidRPr="4FA8DA1E" w:rsidR="6062A14E">
              <w:rPr>
                <w:noProof w:val="0"/>
                <w:sz w:val="22"/>
                <w:szCs w:val="22"/>
                <w:lang w:val="en-GB"/>
              </w:rPr>
              <w:t>oved engagement and attendance over time, particularly for pupils with historically low attendance.</w:t>
            </w:r>
          </w:p>
          <w:p w:rsidRPr="001F3EEE" w:rsidR="00F33FA7" w:rsidP="4FA8DA1E" w:rsidRDefault="00F33FA7" w14:paraId="4B7DBF84" w14:textId="6F53CF24">
            <w:pPr>
              <w:spacing w:before="240" w:beforeAutospacing="off" w:after="240" w:afterAutospacing="off"/>
              <w:ind/>
              <w:rPr>
                <w:noProof w:val="0"/>
                <w:sz w:val="22"/>
                <w:szCs w:val="22"/>
                <w:lang w:val="en-GB"/>
              </w:rPr>
            </w:pPr>
            <w:r w:rsidRPr="4FA8DA1E" w:rsidR="6062A14E">
              <w:rPr>
                <w:noProof w:val="0"/>
                <w:sz w:val="22"/>
                <w:szCs w:val="22"/>
                <w:lang w:val="en-GB"/>
              </w:rPr>
              <w:t>At Felix, attendance incentives will be used alongside robust monitoring and pastoral follow-up to support disadvantaged pupils to attend more regularly and access learning consistently.</w:t>
            </w:r>
          </w:p>
          <w:p w:rsidRPr="001F3EEE" w:rsidR="00F33FA7" w:rsidP="00C31636" w:rsidRDefault="00F33FA7" w14:paraId="4E5EEFA6" w14:textId="6DAC8B1B">
            <w:pPr>
              <w:pStyle w:val="TableRowCentered"/>
              <w:ind w:left="0" w:right="0"/>
              <w:jc w:val="left"/>
              <w:rPr>
                <w:sz w:val="22"/>
                <w:szCs w:val="2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1F3EEE" w:rsidR="00F33FA7" w:rsidP="00C31636" w:rsidRDefault="00F33FA7" w14:paraId="2B1C8B32" w14:textId="77777777">
            <w:pPr>
              <w:pStyle w:val="TableRowCentered"/>
              <w:ind w:left="0" w:right="0"/>
              <w:jc w:val="left"/>
              <w:rPr>
                <w:sz w:val="22"/>
                <w:szCs w:val="22"/>
              </w:rPr>
            </w:pPr>
          </w:p>
        </w:tc>
      </w:tr>
    </w:tbl>
    <w:p w:rsidRPr="001F3EEE" w:rsidR="00E66558" w:rsidRDefault="00E66558" w14:paraId="2A7D5540" w14:textId="77777777">
      <w:pPr>
        <w:spacing w:before="240" w:after="0"/>
        <w:rPr>
          <w:b/>
          <w:bCs/>
          <w:color w:val="104F75"/>
          <w:sz w:val="22"/>
          <w:szCs w:val="22"/>
        </w:rPr>
      </w:pPr>
    </w:p>
    <w:p w:rsidRPr="001F3EEE" w:rsidR="00E66558" w:rsidP="00120AB1" w:rsidRDefault="009D71E8" w14:paraId="2A7D5541" w14:textId="5695071A">
      <w:pPr>
        <w:rPr>
          <w:sz w:val="22"/>
          <w:szCs w:val="22"/>
        </w:rPr>
      </w:pPr>
      <w:r w:rsidRPr="001F3EEE">
        <w:rPr>
          <w:b/>
          <w:bCs/>
          <w:color w:val="104F75"/>
          <w:sz w:val="22"/>
          <w:szCs w:val="22"/>
        </w:rPr>
        <w:t>Total budgeted cost: £</w:t>
      </w:r>
      <w:r w:rsidRPr="008D64B8" w:rsidR="008D64B8">
        <w:rPr>
          <w:b/>
          <w:bCs/>
          <w:color w:val="104F75"/>
          <w:sz w:val="22"/>
          <w:szCs w:val="22"/>
        </w:rPr>
        <w:t>143,925.00</w:t>
      </w:r>
      <w:r w:rsidRPr="001F3EEE">
        <w:rPr>
          <w:b/>
          <w:bCs/>
          <w:color w:val="104F75"/>
          <w:sz w:val="22"/>
          <w:szCs w:val="22"/>
        </w:rPr>
        <w:t xml:space="preserve"> </w:t>
      </w:r>
    </w:p>
    <w:p w:rsidR="009D71E8" w:rsidP="42EC6719" w:rsidRDefault="009D71E8" w14:paraId="0F2018FA" w14:textId="6280186D">
      <w:pPr>
        <w:pStyle w:val="Heading1"/>
        <w:rPr>
          <w:sz w:val="22"/>
          <w:szCs w:val="22"/>
        </w:rPr>
      </w:pPr>
      <w:r w:rsidRPr="42EC6719" w:rsidR="009D71E8">
        <w:rPr>
          <w:sz w:val="22"/>
          <w:szCs w:val="22"/>
        </w:rPr>
        <w:t xml:space="preserve">Part B: Review of the </w:t>
      </w:r>
      <w:r w:rsidRPr="42EC6719" w:rsidR="009D71E8">
        <w:rPr>
          <w:sz w:val="22"/>
          <w:szCs w:val="22"/>
        </w:rPr>
        <w:t>previous</w:t>
      </w:r>
      <w:r w:rsidRPr="42EC6719" w:rsidR="009D71E8">
        <w:rPr>
          <w:sz w:val="22"/>
          <w:szCs w:val="22"/>
        </w:rPr>
        <w:t xml:space="preserve"> academic year</w:t>
      </w:r>
    </w:p>
    <w:p w:rsidR="42EC6719" w:rsidRDefault="42EC6719" w14:paraId="59031218" w14:textId="19AFEEC8"/>
    <w:tbl>
      <w:tblPr>
        <w:tblW w:w="9493" w:type="dxa"/>
        <w:tblCellMar>
          <w:left w:w="10" w:type="dxa"/>
          <w:right w:w="10" w:type="dxa"/>
        </w:tblCellMar>
        <w:tblLook w:val="04A0" w:firstRow="1" w:lastRow="0" w:firstColumn="1" w:lastColumn="0" w:noHBand="0" w:noVBand="1"/>
      </w:tblPr>
      <w:tblGrid>
        <w:gridCol w:w="9493"/>
      </w:tblGrid>
      <w:tr w:rsidRPr="001F3EEE" w:rsidR="00173D4C" w:rsidTr="42EC6719" w14:paraId="7FB51099"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7E3FDF2B" w:rsidP="42EC6719" w:rsidRDefault="7E3FDF2B" w14:paraId="4AF2B7FE" w14:textId="70827AF9">
            <w:pPr>
              <w:pStyle w:val="Normal"/>
              <w:spacing w:before="60"/>
              <w:rPr>
                <w:color w:val="000000" w:themeColor="text1" w:themeTint="FF" w:themeShade="FF"/>
                <w:sz w:val="22"/>
                <w:szCs w:val="22"/>
              </w:rPr>
            </w:pPr>
            <w:r w:rsidRPr="42EC6719" w:rsidR="7E3FDF2B">
              <w:rPr>
                <w:rFonts w:ascii="Arial" w:hAnsi="Arial" w:eastAsia="Arial" w:cs="Arial"/>
                <w:noProof w:val="0"/>
                <w:sz w:val="22"/>
                <w:szCs w:val="22"/>
                <w:lang w:val="en-GB"/>
              </w:rPr>
              <w:t xml:space="preserve">When reviewing Pupil Premium data, it is important to consider the specific context of the school. The school hosts three specialist units, resulting in a significantly higher proportion of pupils with SEND than is typical for a mainstream primary school. A high number of these pupils are also eligible for Pupil Premium, creating a substantial overlap between SEND and disadvantaged cohorts. This context shapes attainment, progress and wider outcomes and reinforces the importance of interpreting Pupil Premium data alongside pupils’ individual starting points, </w:t>
            </w:r>
            <w:r w:rsidRPr="42EC6719" w:rsidR="7E3FDF2B">
              <w:rPr>
                <w:rFonts w:ascii="Arial" w:hAnsi="Arial" w:eastAsia="Arial" w:cs="Arial"/>
                <w:noProof w:val="0"/>
                <w:sz w:val="22"/>
                <w:szCs w:val="22"/>
                <w:lang w:val="en-GB"/>
              </w:rPr>
              <w:t>needs</w:t>
            </w:r>
            <w:r w:rsidRPr="42EC6719" w:rsidR="7E3FDF2B">
              <w:rPr>
                <w:rFonts w:ascii="Arial" w:hAnsi="Arial" w:eastAsia="Arial" w:cs="Arial"/>
                <w:noProof w:val="0"/>
                <w:sz w:val="22"/>
                <w:szCs w:val="22"/>
                <w:lang w:val="en-GB"/>
              </w:rPr>
              <w:t xml:space="preserve"> and personalised support pathways, rather than relying on direct comparison with national averages alone.</w:t>
            </w:r>
          </w:p>
          <w:p w:rsidR="7E3FDF2B" w:rsidP="42EC6719" w:rsidRDefault="7E3FDF2B" w14:paraId="66821894" w14:textId="2F4261A4">
            <w:pPr>
              <w:spacing w:before="240" w:beforeAutospacing="off" w:after="240" w:afterAutospacing="off"/>
            </w:pPr>
            <w:r w:rsidRPr="42EC6719" w:rsidR="7E3FDF2B">
              <w:rPr>
                <w:rFonts w:ascii="Arial" w:hAnsi="Arial" w:eastAsia="Arial" w:cs="Arial"/>
                <w:noProof w:val="0"/>
                <w:sz w:val="22"/>
                <w:szCs w:val="22"/>
                <w:lang w:val="en-GB"/>
              </w:rPr>
              <w:t>This academic year has marked a pivotal point in the school’s work to improve outcomes for disadvantaged pupils. Through a series of carefully considered, evidence-informed strategic decisions, aligned with the Education Endowment Foundation’s tiered approach, strong foundations for sustained improvement have been established. While the attainment gap is not yet closing at the pace we aspire to, early indicators show encouraging signs of progress. A renewed focus on high-quality teaching, targeted academic support and enhanced pastoral provision is beginning to have a positive impact, and the school remains firmly committed to ensuring that all pupils, regardless of background or need, are supported to thrive.</w:t>
            </w:r>
          </w:p>
          <w:p w:rsidR="7E3FDF2B" w:rsidP="42EC6719" w:rsidRDefault="7E3FDF2B" w14:paraId="0A291CB2" w14:textId="7927FABF">
            <w:pPr>
              <w:spacing w:before="240" w:beforeAutospacing="off" w:after="240" w:afterAutospacing="off"/>
            </w:pPr>
            <w:r w:rsidRPr="42EC6719" w:rsidR="7E3FDF2B">
              <w:rPr>
                <w:rFonts w:ascii="Arial" w:hAnsi="Arial" w:eastAsia="Arial" w:cs="Arial"/>
                <w:noProof w:val="0"/>
                <w:sz w:val="22"/>
                <w:szCs w:val="22"/>
                <w:lang w:val="en-GB"/>
              </w:rPr>
              <w:t>Phonics training has been implemented alongside the introduction of new, high-quality resources. Staff confidence and subject knowledge have increased, and early improvements in phonics outcomes are emerging. Although a gap in phonics attainment remains, this work has created a strong platform on which to build, and phonics will continue to be a key priority in the coming year.</w:t>
            </w:r>
          </w:p>
          <w:p w:rsidR="7E3FDF2B" w:rsidP="42EC6719" w:rsidRDefault="7E3FDF2B" w14:paraId="10B3F5F0" w14:textId="755FBFBD">
            <w:pPr>
              <w:spacing w:before="240" w:beforeAutospacing="off" w:after="240" w:afterAutospacing="off"/>
            </w:pPr>
            <w:r w:rsidRPr="42EC6719" w:rsidR="7E3FDF2B">
              <w:rPr>
                <w:rFonts w:ascii="Arial" w:hAnsi="Arial" w:eastAsia="Arial" w:cs="Arial"/>
                <w:noProof w:val="0"/>
                <w:sz w:val="22"/>
                <w:szCs w:val="22"/>
                <w:lang w:val="en-GB"/>
              </w:rPr>
              <w:t>A   writing scheme has been introduced- 2024, supported by targeted staff training with a clear focus on transcription and foundational writing skills. Dedicated time has been built into the school day to support the development of these essential skills. As a result, improvements in pupils’ basic writing are beginning to be seen. Further focus will now be placed on strengthening spelling and grammar to ensure sustained progress across all aspects of writing.</w:t>
            </w:r>
          </w:p>
          <w:p w:rsidR="7E3FDF2B" w:rsidP="42EC6719" w:rsidRDefault="7E3FDF2B" w14:paraId="1D50CCDC" w14:textId="64556E09">
            <w:pPr>
              <w:spacing w:before="240" w:beforeAutospacing="off" w:after="240" w:afterAutospacing="off"/>
            </w:pPr>
            <w:r w:rsidRPr="42EC6719" w:rsidR="7E3FDF2B">
              <w:rPr>
                <w:rFonts w:ascii="Arial" w:hAnsi="Arial" w:eastAsia="Arial" w:cs="Arial"/>
                <w:noProof w:val="0"/>
                <w:sz w:val="22"/>
                <w:szCs w:val="22"/>
                <w:lang w:val="en-GB"/>
              </w:rPr>
              <w:t xml:space="preserve">A new whole-school curriculum has been developed- 2024, drawing on high-quality published schemes to strengthen teacher subject knowledge and curriculum coherence. Pupils now access a broad, </w:t>
            </w:r>
            <w:r w:rsidRPr="42EC6719" w:rsidR="7E3FDF2B">
              <w:rPr>
                <w:rFonts w:ascii="Arial" w:hAnsi="Arial" w:eastAsia="Arial" w:cs="Arial"/>
                <w:noProof w:val="0"/>
                <w:sz w:val="22"/>
                <w:szCs w:val="22"/>
                <w:lang w:val="en-GB"/>
              </w:rPr>
              <w:t>balanced</w:t>
            </w:r>
            <w:r w:rsidRPr="42EC6719" w:rsidR="7E3FDF2B">
              <w:rPr>
                <w:rFonts w:ascii="Arial" w:hAnsi="Arial" w:eastAsia="Arial" w:cs="Arial"/>
                <w:noProof w:val="0"/>
                <w:sz w:val="22"/>
                <w:szCs w:val="22"/>
                <w:lang w:val="en-GB"/>
              </w:rPr>
              <w:t xml:space="preserve"> and ambitious curriculum, and pupil voice </w:t>
            </w:r>
            <w:r w:rsidRPr="42EC6719" w:rsidR="7E3FDF2B">
              <w:rPr>
                <w:rFonts w:ascii="Arial" w:hAnsi="Arial" w:eastAsia="Arial" w:cs="Arial"/>
                <w:noProof w:val="0"/>
                <w:sz w:val="22"/>
                <w:szCs w:val="22"/>
                <w:lang w:val="en-GB"/>
              </w:rPr>
              <w:t>demonstrates</w:t>
            </w:r>
            <w:r w:rsidRPr="42EC6719" w:rsidR="7E3FDF2B">
              <w:rPr>
                <w:rFonts w:ascii="Arial" w:hAnsi="Arial" w:eastAsia="Arial" w:cs="Arial"/>
                <w:noProof w:val="0"/>
                <w:sz w:val="22"/>
                <w:szCs w:val="22"/>
                <w:lang w:val="en-GB"/>
              </w:rPr>
              <w:t xml:space="preserve"> growing confidence and knowledge across a wide range of subjects. This work has contributed positively to teaching and learning across the school.</w:t>
            </w:r>
          </w:p>
          <w:p w:rsidR="7E3FDF2B" w:rsidP="42EC6719" w:rsidRDefault="7E3FDF2B" w14:paraId="127DCD01" w14:textId="5F57E0D0">
            <w:pPr>
              <w:spacing w:before="240" w:beforeAutospacing="off" w:after="240" w:afterAutospacing="off"/>
            </w:pPr>
            <w:r w:rsidRPr="42EC6719" w:rsidR="7E3FDF2B">
              <w:rPr>
                <w:rFonts w:ascii="Arial" w:hAnsi="Arial" w:eastAsia="Arial" w:cs="Arial"/>
                <w:noProof w:val="0"/>
                <w:sz w:val="22"/>
                <w:szCs w:val="22"/>
                <w:lang w:val="en-GB"/>
              </w:rPr>
              <w:t xml:space="preserve">The introduction of NTS assessments (2024) has enabled more </w:t>
            </w:r>
            <w:r w:rsidRPr="42EC6719" w:rsidR="7E3FDF2B">
              <w:rPr>
                <w:rFonts w:ascii="Arial" w:hAnsi="Arial" w:eastAsia="Arial" w:cs="Arial"/>
                <w:noProof w:val="0"/>
                <w:sz w:val="22"/>
                <w:szCs w:val="22"/>
                <w:lang w:val="en-GB"/>
              </w:rPr>
              <w:t>accurate</w:t>
            </w:r>
            <w:r w:rsidRPr="42EC6719" w:rsidR="7E3FDF2B">
              <w:rPr>
                <w:rFonts w:ascii="Arial" w:hAnsi="Arial" w:eastAsia="Arial" w:cs="Arial"/>
                <w:noProof w:val="0"/>
                <w:sz w:val="22"/>
                <w:szCs w:val="22"/>
                <w:lang w:val="en-GB"/>
              </w:rPr>
              <w:t xml:space="preserve"> and consistent teacher judgements, supporting more informed planning and targeted intervention. These assessments will continue to play </w:t>
            </w:r>
            <w:r w:rsidRPr="42EC6719" w:rsidR="7E3FDF2B">
              <w:rPr>
                <w:rFonts w:ascii="Arial" w:hAnsi="Arial" w:eastAsia="Arial" w:cs="Arial"/>
                <w:noProof w:val="0"/>
                <w:sz w:val="22"/>
                <w:szCs w:val="22"/>
                <w:lang w:val="en-GB"/>
              </w:rPr>
              <w:t>an important role</w:t>
            </w:r>
            <w:r w:rsidRPr="42EC6719" w:rsidR="7E3FDF2B">
              <w:rPr>
                <w:rFonts w:ascii="Arial" w:hAnsi="Arial" w:eastAsia="Arial" w:cs="Arial"/>
                <w:noProof w:val="0"/>
                <w:sz w:val="22"/>
                <w:szCs w:val="22"/>
                <w:lang w:val="en-GB"/>
              </w:rPr>
              <w:t xml:space="preserve"> in ensuring data is used effectively to </w:t>
            </w:r>
            <w:r w:rsidRPr="42EC6719" w:rsidR="7E3FDF2B">
              <w:rPr>
                <w:rFonts w:ascii="Arial" w:hAnsi="Arial" w:eastAsia="Arial" w:cs="Arial"/>
                <w:noProof w:val="0"/>
                <w:sz w:val="22"/>
                <w:szCs w:val="22"/>
                <w:lang w:val="en-GB"/>
              </w:rPr>
              <w:t>identify</w:t>
            </w:r>
            <w:r w:rsidRPr="42EC6719" w:rsidR="7E3FDF2B">
              <w:rPr>
                <w:rFonts w:ascii="Arial" w:hAnsi="Arial" w:eastAsia="Arial" w:cs="Arial"/>
                <w:noProof w:val="0"/>
                <w:sz w:val="22"/>
                <w:szCs w:val="22"/>
                <w:lang w:val="en-GB"/>
              </w:rPr>
              <w:t xml:space="preserve"> need and evaluate impact.</w:t>
            </w:r>
          </w:p>
          <w:p w:rsidR="7E3FDF2B" w:rsidP="42EC6719" w:rsidRDefault="7E3FDF2B" w14:paraId="7307F00C" w14:textId="0D60B242">
            <w:pPr>
              <w:spacing w:before="240" w:beforeAutospacing="off" w:after="240" w:afterAutospacing="off"/>
            </w:pPr>
            <w:r w:rsidRPr="42EC6719" w:rsidR="7E3FDF2B">
              <w:rPr>
                <w:rFonts w:ascii="Arial" w:hAnsi="Arial" w:eastAsia="Arial" w:cs="Arial"/>
                <w:noProof w:val="0"/>
                <w:sz w:val="22"/>
                <w:szCs w:val="22"/>
                <w:lang w:val="en-GB"/>
              </w:rPr>
              <w:t xml:space="preserve">SEND training has strengthened staff understanding and application of the graduated approach, supporting more effective provision for pupils with </w:t>
            </w:r>
            <w:r w:rsidRPr="42EC6719" w:rsidR="7E3FDF2B">
              <w:rPr>
                <w:rFonts w:ascii="Arial" w:hAnsi="Arial" w:eastAsia="Arial" w:cs="Arial"/>
                <w:noProof w:val="0"/>
                <w:sz w:val="22"/>
                <w:szCs w:val="22"/>
                <w:lang w:val="en-GB"/>
              </w:rPr>
              <w:t>additional</w:t>
            </w:r>
            <w:r w:rsidRPr="42EC6719" w:rsidR="7E3FDF2B">
              <w:rPr>
                <w:rFonts w:ascii="Arial" w:hAnsi="Arial" w:eastAsia="Arial" w:cs="Arial"/>
                <w:noProof w:val="0"/>
                <w:sz w:val="22"/>
                <w:szCs w:val="22"/>
                <w:lang w:val="en-GB"/>
              </w:rPr>
              <w:t xml:space="preserve"> needs. Given the high proportion of SEND learners within the school, this </w:t>
            </w:r>
            <w:r w:rsidRPr="42EC6719" w:rsidR="7E3FDF2B">
              <w:rPr>
                <w:rFonts w:ascii="Arial" w:hAnsi="Arial" w:eastAsia="Arial" w:cs="Arial"/>
                <w:noProof w:val="0"/>
                <w:sz w:val="22"/>
                <w:szCs w:val="22"/>
                <w:lang w:val="en-GB"/>
              </w:rPr>
              <w:t>remains</w:t>
            </w:r>
            <w:r w:rsidRPr="42EC6719" w:rsidR="7E3FDF2B">
              <w:rPr>
                <w:rFonts w:ascii="Arial" w:hAnsi="Arial" w:eastAsia="Arial" w:cs="Arial"/>
                <w:noProof w:val="0"/>
                <w:sz w:val="22"/>
                <w:szCs w:val="22"/>
                <w:lang w:val="en-GB"/>
              </w:rPr>
              <w:t xml:space="preserve"> a key priority. Teaching assistants have received extensive training, and their contribution to pupil progress is increasingly </w:t>
            </w:r>
            <w:r w:rsidRPr="42EC6719" w:rsidR="7E3FDF2B">
              <w:rPr>
                <w:rFonts w:ascii="Arial" w:hAnsi="Arial" w:eastAsia="Arial" w:cs="Arial"/>
                <w:noProof w:val="0"/>
                <w:sz w:val="22"/>
                <w:szCs w:val="22"/>
                <w:lang w:val="en-GB"/>
              </w:rPr>
              <w:t>evident</w:t>
            </w:r>
            <w:r w:rsidRPr="42EC6719" w:rsidR="7E3FDF2B">
              <w:rPr>
                <w:rFonts w:ascii="Arial" w:hAnsi="Arial" w:eastAsia="Arial" w:cs="Arial"/>
                <w:noProof w:val="0"/>
                <w:sz w:val="22"/>
                <w:szCs w:val="22"/>
                <w:lang w:val="en-GB"/>
              </w:rPr>
              <w:t>. Further refinement will focus on increasing precision and consistency in intervention delivery to maximise impact</w:t>
            </w:r>
          </w:p>
          <w:p w:rsidRPr="001F3EEE" w:rsidR="001D7187" w:rsidP="001D7187" w:rsidRDefault="001D7187" w14:paraId="615B40F4" w14:textId="77777777">
            <w:pPr>
              <w:spacing w:before="60"/>
              <w:rPr>
                <w:color w:val="000000"/>
                <w:sz w:val="22"/>
                <w:szCs w:val="22"/>
              </w:rPr>
            </w:pPr>
            <w:r w:rsidRPr="001F3EEE">
              <w:rPr>
                <w:color w:val="000000"/>
                <w:sz w:val="22"/>
                <w:szCs w:val="22"/>
              </w:rPr>
              <w:t>Enrichment opportunities have broadened pupils’ experiences and increased access to cultural capital. This will continue to be a focus, ensuring disadvantaged pupils benefit from a wide range of opportunities beyond the classroom.</w:t>
            </w:r>
          </w:p>
          <w:p w:rsidRPr="001F3EEE" w:rsidR="001D7187" w:rsidP="001D7187" w:rsidRDefault="001D7187" w14:paraId="21315BDA" w14:textId="77777777">
            <w:pPr>
              <w:spacing w:before="60"/>
              <w:rPr>
                <w:color w:val="000000"/>
                <w:sz w:val="22"/>
                <w:szCs w:val="22"/>
              </w:rPr>
            </w:pPr>
            <w:r w:rsidRPr="001F3EEE">
              <w:rPr>
                <w:color w:val="000000"/>
                <w:sz w:val="22"/>
                <w:szCs w:val="22"/>
              </w:rPr>
              <w:t>The introduction of the STEPS behaviour framework has led to improved consistency across the school. While progress is evident, embedding this approach further remains a priority.</w:t>
            </w:r>
          </w:p>
          <w:p w:rsidRPr="001F3EEE" w:rsidR="001D7187" w:rsidP="001D7187" w:rsidRDefault="001D7187" w14:paraId="416658A1" w14:textId="38549DAA">
            <w:pPr>
              <w:spacing w:before="60"/>
              <w:rPr>
                <w:color w:val="000000"/>
                <w:sz w:val="22"/>
                <w:szCs w:val="22"/>
              </w:rPr>
            </w:pPr>
            <w:r w:rsidRPr="001F3EEE">
              <w:rPr>
                <w:color w:val="000000"/>
                <w:sz w:val="22"/>
                <w:szCs w:val="22"/>
              </w:rPr>
              <w:t>Attendance for disadvantaged pupils remains below national averages, with a notable gap. Strategies are in place to monitor attendance frequently and raise its profile as a whole-school responsibility. However, more work is needed to improve attendance and reduce persistent absence among disadvantaged learners.</w:t>
            </w:r>
          </w:p>
          <w:p w:rsidRPr="001F3EEE" w:rsidR="001D7187" w:rsidP="00242093" w:rsidRDefault="001D7187" w14:paraId="526BC2E4" w14:textId="77777777">
            <w:pPr>
              <w:spacing w:before="60"/>
              <w:rPr>
                <w:color w:val="000000"/>
                <w:sz w:val="22"/>
                <w:szCs w:val="22"/>
              </w:rPr>
            </w:pPr>
          </w:p>
          <w:p w:rsidRPr="001F3EEE" w:rsidR="00B832B4" w:rsidP="00242093" w:rsidRDefault="00B832B4" w14:paraId="0AEF54B8" w14:textId="77777777">
            <w:pPr>
              <w:spacing w:before="60"/>
              <w:rPr>
                <w:i/>
                <w:iCs/>
                <w:color w:val="000000"/>
                <w:sz w:val="22"/>
                <w:szCs w:val="22"/>
              </w:rPr>
            </w:pPr>
          </w:p>
          <w:p w:rsidRPr="001F3EEE" w:rsidR="00B832B4" w:rsidP="00242093" w:rsidRDefault="00B832B4" w14:paraId="6411AB37" w14:textId="77777777">
            <w:pPr>
              <w:spacing w:before="60"/>
              <w:rPr>
                <w:i/>
                <w:iCs/>
                <w:color w:val="000000"/>
                <w:sz w:val="22"/>
                <w:szCs w:val="22"/>
              </w:rPr>
            </w:pPr>
          </w:p>
          <w:p w:rsidRPr="001F3EEE" w:rsidR="009A2F24" w:rsidP="00B832B4" w:rsidRDefault="009A2F24" w14:paraId="5023926C" w14:textId="2E0F82E9">
            <w:pPr>
              <w:spacing w:before="60"/>
              <w:rPr>
                <w:i/>
                <w:iCs/>
                <w:sz w:val="22"/>
                <w:szCs w:val="22"/>
                <w:lang w:eastAsia="en-US"/>
              </w:rPr>
            </w:pPr>
          </w:p>
        </w:tc>
      </w:tr>
    </w:tbl>
    <w:p w:rsidRPr="001F3EEE" w:rsidR="00E66558" w:rsidP="00A82A98" w:rsidRDefault="006D6372" w14:paraId="2A7D5548" w14:textId="0199D85C">
      <w:pPr>
        <w:pStyle w:val="Heading2"/>
        <w:rPr>
          <w:sz w:val="22"/>
          <w:szCs w:val="22"/>
        </w:rPr>
      </w:pPr>
      <w:r w:rsidRPr="001F3EEE">
        <w:rPr>
          <w:sz w:val="22"/>
          <w:szCs w:val="22"/>
        </w:rPr>
        <w:t>E</w:t>
      </w:r>
      <w:r w:rsidRPr="001F3EEE" w:rsidR="009D71E8">
        <w:rPr>
          <w:sz w:val="22"/>
          <w:szCs w:val="22"/>
        </w:rPr>
        <w:t>xternally provided programmes</w:t>
      </w:r>
    </w:p>
    <w:p w:rsidRPr="001F3EEE" w:rsidR="00E66558" w:rsidP="07FFD3D3" w:rsidRDefault="0B240EAF" w14:paraId="2A7D5549" w14:textId="6982BE0C">
      <w:pPr>
        <w:rPr>
          <w:i/>
          <w:iCs/>
          <w:sz w:val="22"/>
          <w:szCs w:val="22"/>
        </w:rPr>
      </w:pPr>
      <w:r w:rsidRPr="001F3EEE">
        <w:rPr>
          <w:i/>
          <w:iCs/>
          <w:sz w:val="22"/>
          <w:szCs w:val="22"/>
        </w:rPr>
        <w:t xml:space="preserve">Please include the names of any non-DfE programmes that you </w:t>
      </w:r>
      <w:r w:rsidRPr="001F3EEE" w:rsidR="491E3A64">
        <w:rPr>
          <w:i/>
          <w:iCs/>
          <w:sz w:val="22"/>
          <w:szCs w:val="22"/>
        </w:rPr>
        <w:t xml:space="preserve">used your pupil premium to fund </w:t>
      </w:r>
      <w:r w:rsidRPr="001F3EEE">
        <w:rPr>
          <w:i/>
          <w:iCs/>
          <w:sz w:val="22"/>
          <w:szCs w:val="22"/>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Pr="001F3EEE" w:rsidR="00E66558" w:rsidTr="00CA4421" w14:paraId="2A7D554C" w14:textId="77777777">
        <w:tc>
          <w:tcPr>
            <w:tcW w:w="4815"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1F3EEE" w:rsidR="00E66558" w:rsidP="00F54FCB" w:rsidRDefault="009D71E8" w14:paraId="2A7D554A" w14:textId="77777777">
            <w:pPr>
              <w:pStyle w:val="TableHeader"/>
              <w:ind w:left="0" w:right="0"/>
              <w:jc w:val="left"/>
              <w:rPr>
                <w:sz w:val="22"/>
                <w:szCs w:val="22"/>
              </w:rPr>
            </w:pPr>
            <w:r w:rsidRPr="001F3EEE">
              <w:rPr>
                <w:sz w:val="22"/>
                <w:szCs w:val="22"/>
              </w:rPr>
              <w:t>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Pr="001F3EEE" w:rsidR="00E66558" w:rsidP="00F54FCB" w:rsidRDefault="009D71E8" w14:paraId="2A7D554B" w14:textId="77777777">
            <w:pPr>
              <w:pStyle w:val="TableHeader"/>
              <w:ind w:left="0" w:right="0"/>
              <w:jc w:val="left"/>
              <w:rPr>
                <w:sz w:val="22"/>
                <w:szCs w:val="22"/>
              </w:rPr>
            </w:pPr>
            <w:r w:rsidRPr="001F3EEE">
              <w:rPr>
                <w:sz w:val="22"/>
                <w:szCs w:val="22"/>
              </w:rPr>
              <w:t>Provider</w:t>
            </w:r>
          </w:p>
        </w:tc>
      </w:tr>
      <w:tr w:rsidRPr="001F3EEE" w:rsidR="00E66558" w14:paraId="2A7D554F"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F54FCB" w:rsidRDefault="00E66558" w14:paraId="2A7D554D" w14:textId="77777777">
            <w:pPr>
              <w:pStyle w:val="TableRow"/>
              <w:ind w:left="0" w:right="0"/>
              <w:rPr>
                <w:sz w:val="22"/>
                <w:szCs w:val="22"/>
              </w:rPr>
            </w:pP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F54FCB" w:rsidRDefault="00E66558" w14:paraId="2A7D554E" w14:textId="77777777">
            <w:pPr>
              <w:pStyle w:val="TableRowCentered"/>
              <w:ind w:left="0" w:right="0"/>
              <w:jc w:val="left"/>
              <w:rPr>
                <w:sz w:val="22"/>
                <w:szCs w:val="22"/>
              </w:rPr>
            </w:pPr>
          </w:p>
        </w:tc>
      </w:tr>
      <w:tr w:rsidRPr="001F3EEE" w:rsidR="00E66558" w14:paraId="2A7D5552" w14:textId="77777777">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F54FCB" w:rsidRDefault="00E66558" w14:paraId="2A7D5550" w14:textId="77777777">
            <w:pPr>
              <w:pStyle w:val="TableRow"/>
              <w:ind w:left="0" w:right="0"/>
              <w:rPr>
                <w:sz w:val="22"/>
                <w:szCs w:val="22"/>
              </w:rPr>
            </w:pPr>
          </w:p>
        </w:tc>
        <w:tc>
          <w:tcPr>
            <w:tcW w:w="46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P="00F54FCB" w:rsidRDefault="00E66558" w14:paraId="2A7D5551" w14:textId="77777777">
            <w:pPr>
              <w:pStyle w:val="TableRowCentered"/>
              <w:ind w:left="0" w:right="0"/>
              <w:jc w:val="left"/>
              <w:rPr>
                <w:sz w:val="22"/>
                <w:szCs w:val="22"/>
              </w:rPr>
            </w:pPr>
          </w:p>
        </w:tc>
      </w:tr>
    </w:tbl>
    <w:p w:rsidRPr="001F3EEE" w:rsidR="00E66558" w:rsidP="0008384B" w:rsidRDefault="00E66558" w14:paraId="2A7D5553" w14:textId="193B71B2">
      <w:pPr>
        <w:rPr>
          <w:sz w:val="22"/>
          <w:szCs w:val="22"/>
        </w:rPr>
      </w:pPr>
    </w:p>
    <w:p w:rsidRPr="001F3EEE" w:rsidR="0008384B" w:rsidP="0008384B" w:rsidRDefault="0008384B" w14:paraId="540A892B" w14:textId="3B30AD65">
      <w:pPr>
        <w:pStyle w:val="Heading2"/>
        <w:rPr>
          <w:sz w:val="22"/>
          <w:szCs w:val="22"/>
        </w:rPr>
      </w:pPr>
      <w:r w:rsidRPr="001F3EEE">
        <w:rPr>
          <w:sz w:val="22"/>
          <w:szCs w:val="22"/>
        </w:rPr>
        <w:t>Service pupil premium funding (optional)</w:t>
      </w:r>
    </w:p>
    <w:tbl>
      <w:tblPr>
        <w:tblStyle w:val="TableGrid"/>
        <w:tblW w:w="0" w:type="auto"/>
        <w:tblLook w:val="04A0" w:firstRow="1" w:lastRow="0" w:firstColumn="1" w:lastColumn="0" w:noHBand="0" w:noVBand="1"/>
      </w:tblPr>
      <w:tblGrid>
        <w:gridCol w:w="9486"/>
      </w:tblGrid>
      <w:tr w:rsidRPr="001F3EEE" w:rsidR="00ED5108" w:rsidTr="4FA8DA1E" w14:paraId="60D4B166" w14:textId="77777777">
        <w:tc>
          <w:tcPr>
            <w:tcW w:w="9486" w:type="dxa"/>
            <w:shd w:val="clear" w:color="auto" w:fill="CFDCE3"/>
            <w:tcMar/>
          </w:tcPr>
          <w:p w:rsidRPr="001F3EEE" w:rsidR="00ED5108" w:rsidP="00F54FCB" w:rsidRDefault="009D71E8" w14:paraId="4641AE9E" w14:textId="2758D317">
            <w:pPr>
              <w:spacing w:before="60" w:after="60"/>
              <w:rPr>
                <w:b/>
                <w:bCs/>
                <w:sz w:val="22"/>
                <w:szCs w:val="22"/>
              </w:rPr>
            </w:pPr>
            <w:r w:rsidRPr="001F3EEE">
              <w:rPr>
                <w:i/>
                <w:iCs/>
                <w:sz w:val="22"/>
                <w:szCs w:val="22"/>
              </w:rPr>
              <w:t xml:space="preserve">For schools that receive this funding, you may wish to provide the following information: </w:t>
            </w:r>
            <w:r w:rsidRPr="001F3EEE" w:rsidR="00ED5108">
              <w:rPr>
                <w:b/>
                <w:bCs/>
                <w:color w:val="000000"/>
                <w:sz w:val="22"/>
                <w:szCs w:val="22"/>
              </w:rPr>
              <w:t>How our service pupil premium allocation was spent last academic year</w:t>
            </w:r>
          </w:p>
        </w:tc>
      </w:tr>
      <w:tr w:rsidRPr="001F3EEE" w:rsidR="00ED5108" w:rsidTr="4FA8DA1E" w14:paraId="3EA0D00B" w14:textId="77777777">
        <w:tc>
          <w:tcPr>
            <w:tcW w:w="9486" w:type="dxa"/>
            <w:tcMar/>
          </w:tcPr>
          <w:p w:rsidRPr="001F3EEE" w:rsidR="00ED5108" w:rsidP="00F54FCB" w:rsidRDefault="00ED5108" w14:paraId="5AA67344" w14:textId="77777777">
            <w:pPr>
              <w:rPr>
                <w:sz w:val="22"/>
                <w:szCs w:val="22"/>
              </w:rPr>
            </w:pPr>
          </w:p>
        </w:tc>
      </w:tr>
      <w:tr w:rsidRPr="001F3EEE" w:rsidR="00ED5108" w:rsidTr="4FA8DA1E" w14:paraId="2D016C33" w14:textId="77777777">
        <w:tc>
          <w:tcPr>
            <w:tcW w:w="9486" w:type="dxa"/>
            <w:shd w:val="clear" w:color="auto" w:fill="CFDCE3"/>
            <w:tcMar/>
          </w:tcPr>
          <w:p w:rsidRPr="001F3EEE" w:rsidR="00ED5108" w:rsidP="00F54FCB" w:rsidRDefault="00ED5108" w14:paraId="3A5A15C1" w14:textId="789D6271">
            <w:pPr>
              <w:spacing w:before="60" w:after="60"/>
              <w:rPr>
                <w:b/>
                <w:bCs/>
                <w:sz w:val="22"/>
                <w:szCs w:val="22"/>
              </w:rPr>
            </w:pPr>
            <w:r w:rsidRPr="001F3EEE">
              <w:rPr>
                <w:b/>
                <w:bCs/>
                <w:color w:val="000000"/>
                <w:sz w:val="22"/>
                <w:szCs w:val="22"/>
              </w:rPr>
              <w:t>The impact of that spending on service pupil premium eligible pupils</w:t>
            </w:r>
          </w:p>
        </w:tc>
      </w:tr>
      <w:tr w:rsidRPr="001F3EEE" w:rsidR="00ED5108" w:rsidTr="4FA8DA1E" w14:paraId="703D7ACC" w14:textId="77777777">
        <w:tc>
          <w:tcPr>
            <w:tcW w:w="9486" w:type="dxa"/>
            <w:tcMar/>
          </w:tcPr>
          <w:p w:rsidRPr="001F3EEE" w:rsidR="00ED5108" w:rsidP="00F54FCB" w:rsidRDefault="00ED5108" w14:paraId="2AA0A743" w14:textId="77777777">
            <w:pPr>
              <w:rPr>
                <w:sz w:val="22"/>
                <w:szCs w:val="22"/>
              </w:rPr>
            </w:pPr>
          </w:p>
        </w:tc>
      </w:tr>
    </w:tbl>
    <w:p w:rsidRPr="001F3EEE" w:rsidR="00E66558" w:rsidRDefault="009D71E8" w14:paraId="2A7D5560" w14:textId="77777777">
      <w:pPr>
        <w:pStyle w:val="Heading1"/>
        <w:rPr>
          <w:sz w:val="22"/>
          <w:szCs w:val="22"/>
        </w:rPr>
      </w:pPr>
      <w:r w:rsidRPr="001F3EEE">
        <w:rPr>
          <w:sz w:val="22"/>
          <w:szCs w:val="22"/>
        </w:rPr>
        <w:t>Further information (optional)</w:t>
      </w:r>
    </w:p>
    <w:tbl>
      <w:tblPr>
        <w:tblW w:w="9486" w:type="dxa"/>
        <w:tblCellMar>
          <w:left w:w="10" w:type="dxa"/>
          <w:right w:w="10" w:type="dxa"/>
        </w:tblCellMar>
        <w:tblLook w:val="04A0" w:firstRow="1" w:lastRow="0" w:firstColumn="1" w:lastColumn="0" w:noHBand="0" w:noVBand="1"/>
      </w:tblPr>
      <w:tblGrid>
        <w:gridCol w:w="9486"/>
      </w:tblGrid>
      <w:tr w:rsidRPr="001F3EEE" w:rsidR="00E66558" w14:paraId="2A7D5563" w14:textId="77777777">
        <w:tc>
          <w:tcPr>
            <w:tcW w:w="948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F3EEE" w:rsidR="00E66558" w:rsidRDefault="009D71E8" w14:paraId="2A7D5562" w14:textId="7A9BAE22">
            <w:pPr>
              <w:spacing w:before="120" w:after="120"/>
              <w:rPr>
                <w:rFonts w:cs="Arial"/>
                <w:i/>
                <w:iCs/>
                <w:sz w:val="22"/>
                <w:szCs w:val="22"/>
              </w:rPr>
            </w:pPr>
            <w:r w:rsidRPr="001F3EEE">
              <w:rPr>
                <w:rFonts w:cs="Arial"/>
                <w:i/>
                <w:iCs/>
                <w:sz w:val="22"/>
                <w:szCs w:val="22"/>
              </w:rPr>
              <w:t xml:space="preserve">Use this space to provide any further information about your pupil premium strategy. For example, about </w:t>
            </w:r>
            <w:r w:rsidRPr="001F3EEE" w:rsidR="00BE44AC">
              <w:rPr>
                <w:rFonts w:cs="Arial"/>
                <w:i/>
                <w:iCs/>
                <w:sz w:val="22"/>
                <w:szCs w:val="22"/>
              </w:rPr>
              <w:t xml:space="preserve">your </w:t>
            </w:r>
            <w:r w:rsidRPr="001F3EEE">
              <w:rPr>
                <w:rFonts w:cs="Arial"/>
                <w:i/>
                <w:iCs/>
                <w:sz w:val="22"/>
                <w:szCs w:val="22"/>
              </w:rPr>
              <w:t>strategy planning</w:t>
            </w:r>
            <w:r w:rsidRPr="001F3EEE" w:rsidR="00F15753">
              <w:rPr>
                <w:rFonts w:cs="Arial"/>
                <w:i/>
                <w:iCs/>
                <w:sz w:val="22"/>
                <w:szCs w:val="22"/>
              </w:rPr>
              <w:t>, implementation</w:t>
            </w:r>
            <w:r w:rsidRPr="001F3EEE" w:rsidR="00BE44AC">
              <w:rPr>
                <w:rFonts w:cs="Arial"/>
                <w:i/>
                <w:iCs/>
                <w:sz w:val="22"/>
                <w:szCs w:val="22"/>
              </w:rPr>
              <w:t xml:space="preserve"> and evaluation,</w:t>
            </w:r>
            <w:r w:rsidRPr="001F3EEE">
              <w:rPr>
                <w:rFonts w:cs="Arial"/>
                <w:i/>
                <w:iCs/>
                <w:sz w:val="22"/>
                <w:szCs w:val="22"/>
              </w:rPr>
              <w:t xml:space="preserve"> or other activity that you are</w:t>
            </w:r>
            <w:r w:rsidRPr="001F3EEE" w:rsidR="00F15753">
              <w:rPr>
                <w:rFonts w:cs="Arial"/>
                <w:i/>
                <w:iCs/>
                <w:sz w:val="22"/>
                <w:szCs w:val="22"/>
              </w:rPr>
              <w:t xml:space="preserve"> deliver</w:t>
            </w:r>
            <w:r w:rsidRPr="001F3EEE">
              <w:rPr>
                <w:rFonts w:cs="Arial"/>
                <w:i/>
                <w:iCs/>
                <w:sz w:val="22"/>
                <w:szCs w:val="22"/>
              </w:rPr>
              <w:t>ing to support disadvantaged pupils that is not dependent on pupil premium funding.</w:t>
            </w:r>
          </w:p>
        </w:tc>
      </w:tr>
      <w:bookmarkEnd w:id="17"/>
      <w:bookmarkEnd w:id="18"/>
      <w:bookmarkEnd w:id="19"/>
    </w:tbl>
    <w:p w:rsidRPr="001F3EEE" w:rsidR="00E66558" w:rsidRDefault="00E66558" w14:paraId="2A7D5564" w14:textId="77777777">
      <w:pPr>
        <w:rPr>
          <w:sz w:val="22"/>
          <w:szCs w:val="22"/>
        </w:rPr>
      </w:pPr>
    </w:p>
    <w:sectPr w:rsidRPr="001F3EEE" w:rsidR="00E66558">
      <w:headerReference w:type="default" r:id="rId12"/>
      <w:footerReference w:type="default" r:id="rId13"/>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751" w:rsidRDefault="009A2751" w14:paraId="3222F9C8" w14:textId="77777777">
      <w:pPr>
        <w:spacing w:after="0" w:line="240" w:lineRule="auto"/>
      </w:pPr>
      <w:r>
        <w:separator/>
      </w:r>
    </w:p>
  </w:endnote>
  <w:endnote w:type="continuationSeparator" w:id="0">
    <w:p w:rsidR="009A2751" w:rsidRDefault="009A2751" w14:paraId="4AEE0744" w14:textId="77777777">
      <w:pPr>
        <w:spacing w:after="0" w:line="240" w:lineRule="auto"/>
      </w:pPr>
      <w:r>
        <w:continuationSeparator/>
      </w:r>
    </w:p>
  </w:endnote>
  <w:endnote w:type="continuationNotice" w:id="1">
    <w:p w:rsidR="009A2751" w:rsidRDefault="009A2751" w14:paraId="2735FC3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EA" w:rsidRDefault="009D71E8"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751" w:rsidRDefault="009A2751" w14:paraId="1018D12E" w14:textId="77777777">
      <w:pPr>
        <w:spacing w:after="0" w:line="240" w:lineRule="auto"/>
      </w:pPr>
      <w:r>
        <w:separator/>
      </w:r>
    </w:p>
  </w:footnote>
  <w:footnote w:type="continuationSeparator" w:id="0">
    <w:p w:rsidR="009A2751" w:rsidRDefault="009A2751" w14:paraId="3E437758" w14:textId="77777777">
      <w:pPr>
        <w:spacing w:after="0" w:line="240" w:lineRule="auto"/>
      </w:pPr>
      <w:r>
        <w:continuationSeparator/>
      </w:r>
    </w:p>
  </w:footnote>
  <w:footnote w:type="continuationNotice" w:id="1">
    <w:p w:rsidR="009A2751" w:rsidRDefault="009A2751" w14:paraId="49EA807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3EA" w:rsidRDefault="00C373EA"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744"/>
    <w:multiLevelType w:val="multilevel"/>
    <w:tmpl w:val="398AC510"/>
    <w:lvl w:ilvl="0">
      <w:start w:val="1"/>
      <w:numFmt w:val="bullet"/>
      <w:lvlText w:val=""/>
      <w:lvlJc w:val="left"/>
      <w:pPr>
        <w:tabs>
          <w:tab w:val="num" w:pos="466"/>
        </w:tabs>
        <w:ind w:left="466" w:hanging="360"/>
      </w:pPr>
      <w:rPr>
        <w:rFonts w:hint="default" w:ascii="Symbol" w:hAnsi="Symbol"/>
        <w:sz w:val="20"/>
      </w:rPr>
    </w:lvl>
    <w:lvl w:ilvl="1">
      <w:start w:val="1"/>
      <w:numFmt w:val="bullet"/>
      <w:lvlText w:val="o"/>
      <w:lvlJc w:val="left"/>
      <w:pPr>
        <w:tabs>
          <w:tab w:val="num" w:pos="1186"/>
        </w:tabs>
        <w:ind w:left="1186" w:hanging="360"/>
      </w:pPr>
      <w:rPr>
        <w:rFonts w:hint="default" w:ascii="Courier New" w:hAnsi="Courier New"/>
        <w:sz w:val="20"/>
      </w:rPr>
    </w:lvl>
    <w:lvl w:ilvl="2" w:tentative="1">
      <w:start w:val="1"/>
      <w:numFmt w:val="bullet"/>
      <w:lvlText w:val=""/>
      <w:lvlJc w:val="left"/>
      <w:pPr>
        <w:tabs>
          <w:tab w:val="num" w:pos="1906"/>
        </w:tabs>
        <w:ind w:left="1906" w:hanging="360"/>
      </w:pPr>
      <w:rPr>
        <w:rFonts w:hint="default" w:ascii="Wingdings" w:hAnsi="Wingdings"/>
        <w:sz w:val="20"/>
      </w:rPr>
    </w:lvl>
    <w:lvl w:ilvl="3" w:tentative="1">
      <w:start w:val="1"/>
      <w:numFmt w:val="bullet"/>
      <w:lvlText w:val=""/>
      <w:lvlJc w:val="left"/>
      <w:pPr>
        <w:tabs>
          <w:tab w:val="num" w:pos="2626"/>
        </w:tabs>
        <w:ind w:left="2626" w:hanging="360"/>
      </w:pPr>
      <w:rPr>
        <w:rFonts w:hint="default" w:ascii="Wingdings" w:hAnsi="Wingdings"/>
        <w:sz w:val="20"/>
      </w:rPr>
    </w:lvl>
    <w:lvl w:ilvl="4" w:tentative="1">
      <w:start w:val="1"/>
      <w:numFmt w:val="bullet"/>
      <w:lvlText w:val=""/>
      <w:lvlJc w:val="left"/>
      <w:pPr>
        <w:tabs>
          <w:tab w:val="num" w:pos="3346"/>
        </w:tabs>
        <w:ind w:left="3346" w:hanging="360"/>
      </w:pPr>
      <w:rPr>
        <w:rFonts w:hint="default" w:ascii="Wingdings" w:hAnsi="Wingdings"/>
        <w:sz w:val="20"/>
      </w:rPr>
    </w:lvl>
    <w:lvl w:ilvl="5" w:tentative="1">
      <w:start w:val="1"/>
      <w:numFmt w:val="bullet"/>
      <w:lvlText w:val=""/>
      <w:lvlJc w:val="left"/>
      <w:pPr>
        <w:tabs>
          <w:tab w:val="num" w:pos="4066"/>
        </w:tabs>
        <w:ind w:left="4066" w:hanging="360"/>
      </w:pPr>
      <w:rPr>
        <w:rFonts w:hint="default" w:ascii="Wingdings" w:hAnsi="Wingdings"/>
        <w:sz w:val="20"/>
      </w:rPr>
    </w:lvl>
    <w:lvl w:ilvl="6" w:tentative="1">
      <w:start w:val="1"/>
      <w:numFmt w:val="bullet"/>
      <w:lvlText w:val=""/>
      <w:lvlJc w:val="left"/>
      <w:pPr>
        <w:tabs>
          <w:tab w:val="num" w:pos="4786"/>
        </w:tabs>
        <w:ind w:left="4786" w:hanging="360"/>
      </w:pPr>
      <w:rPr>
        <w:rFonts w:hint="default" w:ascii="Wingdings" w:hAnsi="Wingdings"/>
        <w:sz w:val="20"/>
      </w:rPr>
    </w:lvl>
    <w:lvl w:ilvl="7" w:tentative="1">
      <w:start w:val="1"/>
      <w:numFmt w:val="bullet"/>
      <w:lvlText w:val=""/>
      <w:lvlJc w:val="left"/>
      <w:pPr>
        <w:tabs>
          <w:tab w:val="num" w:pos="5506"/>
        </w:tabs>
        <w:ind w:left="5506" w:hanging="360"/>
      </w:pPr>
      <w:rPr>
        <w:rFonts w:hint="default" w:ascii="Wingdings" w:hAnsi="Wingdings"/>
        <w:sz w:val="20"/>
      </w:rPr>
    </w:lvl>
    <w:lvl w:ilvl="8" w:tentative="1">
      <w:start w:val="1"/>
      <w:numFmt w:val="bullet"/>
      <w:lvlText w:val=""/>
      <w:lvlJc w:val="left"/>
      <w:pPr>
        <w:tabs>
          <w:tab w:val="num" w:pos="6226"/>
        </w:tabs>
        <w:ind w:left="6226" w:hanging="360"/>
      </w:pPr>
      <w:rPr>
        <w:rFonts w:hint="default" w:ascii="Wingdings" w:hAnsi="Wingdings"/>
        <w:sz w:val="20"/>
      </w:rPr>
    </w:lvl>
  </w:abstractNum>
  <w:abstractNum w:abstractNumId="1" w15:restartNumberingAfterBreak="0">
    <w:nsid w:val="055F375D"/>
    <w:multiLevelType w:val="hybridMultilevel"/>
    <w:tmpl w:val="3C889A8C"/>
    <w:lvl w:ilvl="0" w:tplc="0809000D">
      <w:start w:val="1"/>
      <w:numFmt w:val="bullet"/>
      <w:lvlText w:val=""/>
      <w:lvlJc w:val="left"/>
      <w:pPr>
        <w:ind w:left="777" w:hanging="360"/>
      </w:pPr>
      <w:rPr>
        <w:rFonts w:hint="default" w:ascii="Wingdings" w:hAnsi="Wingdings"/>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2" w15:restartNumberingAfterBreak="0">
    <w:nsid w:val="0FE73A9F"/>
    <w:multiLevelType w:val="hybridMultilevel"/>
    <w:tmpl w:val="6F28D9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C3E2C77"/>
    <w:multiLevelType w:val="hybridMultilevel"/>
    <w:tmpl w:val="3DC407E8"/>
    <w:lvl w:ilvl="0" w:tplc="9D0C57E4">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7"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37A60BB"/>
    <w:multiLevelType w:val="hybridMultilevel"/>
    <w:tmpl w:val="4A4247AE"/>
    <w:lvl w:ilvl="0" w:tplc="2ED4026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73D2738"/>
    <w:multiLevelType w:val="hybridMultilevel"/>
    <w:tmpl w:val="66BA4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D42210D"/>
    <w:multiLevelType w:val="hybridMultilevel"/>
    <w:tmpl w:val="84D2D1B6"/>
    <w:lvl w:ilvl="0" w:tplc="0809000D">
      <w:start w:val="1"/>
      <w:numFmt w:val="bullet"/>
      <w:lvlText w:val=""/>
      <w:lvlJc w:val="left"/>
      <w:pPr>
        <w:ind w:left="898" w:hanging="360"/>
      </w:pPr>
      <w:rPr>
        <w:rFonts w:hint="default" w:ascii="Wingdings" w:hAnsi="Wingdings"/>
      </w:rPr>
    </w:lvl>
    <w:lvl w:ilvl="1" w:tplc="08090003" w:tentative="1">
      <w:start w:val="1"/>
      <w:numFmt w:val="bullet"/>
      <w:lvlText w:val="o"/>
      <w:lvlJc w:val="left"/>
      <w:pPr>
        <w:ind w:left="1618" w:hanging="360"/>
      </w:pPr>
      <w:rPr>
        <w:rFonts w:hint="default" w:ascii="Courier New" w:hAnsi="Courier New" w:cs="Courier New"/>
      </w:rPr>
    </w:lvl>
    <w:lvl w:ilvl="2" w:tplc="08090005" w:tentative="1">
      <w:start w:val="1"/>
      <w:numFmt w:val="bullet"/>
      <w:lvlText w:val=""/>
      <w:lvlJc w:val="left"/>
      <w:pPr>
        <w:ind w:left="2338" w:hanging="360"/>
      </w:pPr>
      <w:rPr>
        <w:rFonts w:hint="default" w:ascii="Wingdings" w:hAnsi="Wingdings"/>
      </w:rPr>
    </w:lvl>
    <w:lvl w:ilvl="3" w:tplc="08090001" w:tentative="1">
      <w:start w:val="1"/>
      <w:numFmt w:val="bullet"/>
      <w:lvlText w:val=""/>
      <w:lvlJc w:val="left"/>
      <w:pPr>
        <w:ind w:left="3058" w:hanging="360"/>
      </w:pPr>
      <w:rPr>
        <w:rFonts w:hint="default" w:ascii="Symbol" w:hAnsi="Symbol"/>
      </w:rPr>
    </w:lvl>
    <w:lvl w:ilvl="4" w:tplc="08090003" w:tentative="1">
      <w:start w:val="1"/>
      <w:numFmt w:val="bullet"/>
      <w:lvlText w:val="o"/>
      <w:lvlJc w:val="left"/>
      <w:pPr>
        <w:ind w:left="3778" w:hanging="360"/>
      </w:pPr>
      <w:rPr>
        <w:rFonts w:hint="default" w:ascii="Courier New" w:hAnsi="Courier New" w:cs="Courier New"/>
      </w:rPr>
    </w:lvl>
    <w:lvl w:ilvl="5" w:tplc="08090005" w:tentative="1">
      <w:start w:val="1"/>
      <w:numFmt w:val="bullet"/>
      <w:lvlText w:val=""/>
      <w:lvlJc w:val="left"/>
      <w:pPr>
        <w:ind w:left="4498" w:hanging="360"/>
      </w:pPr>
      <w:rPr>
        <w:rFonts w:hint="default" w:ascii="Wingdings" w:hAnsi="Wingdings"/>
      </w:rPr>
    </w:lvl>
    <w:lvl w:ilvl="6" w:tplc="08090001" w:tentative="1">
      <w:start w:val="1"/>
      <w:numFmt w:val="bullet"/>
      <w:lvlText w:val=""/>
      <w:lvlJc w:val="left"/>
      <w:pPr>
        <w:ind w:left="5218" w:hanging="360"/>
      </w:pPr>
      <w:rPr>
        <w:rFonts w:hint="default" w:ascii="Symbol" w:hAnsi="Symbol"/>
      </w:rPr>
    </w:lvl>
    <w:lvl w:ilvl="7" w:tplc="08090003" w:tentative="1">
      <w:start w:val="1"/>
      <w:numFmt w:val="bullet"/>
      <w:lvlText w:val="o"/>
      <w:lvlJc w:val="left"/>
      <w:pPr>
        <w:ind w:left="5938" w:hanging="360"/>
      </w:pPr>
      <w:rPr>
        <w:rFonts w:hint="default" w:ascii="Courier New" w:hAnsi="Courier New" w:cs="Courier New"/>
      </w:rPr>
    </w:lvl>
    <w:lvl w:ilvl="8" w:tplc="08090005" w:tentative="1">
      <w:start w:val="1"/>
      <w:numFmt w:val="bullet"/>
      <w:lvlText w:val=""/>
      <w:lvlJc w:val="left"/>
      <w:pPr>
        <w:ind w:left="6658" w:hanging="360"/>
      </w:pPr>
      <w:rPr>
        <w:rFonts w:hint="default" w:ascii="Wingdings" w:hAnsi="Wingdings"/>
      </w:rPr>
    </w:lvl>
  </w:abstractNum>
  <w:abstractNum w:abstractNumId="16" w15:restartNumberingAfterBreak="0">
    <w:nsid w:val="5FDF3112"/>
    <w:multiLevelType w:val="multilevel"/>
    <w:tmpl w:val="9132B202"/>
    <w:lvl w:ilvl="0">
      <w:start w:val="1"/>
      <w:numFmt w:val="bullet"/>
      <w:lvlText w:val=""/>
      <w:lvlJc w:val="left"/>
      <w:pPr>
        <w:ind w:left="720" w:hanging="360"/>
      </w:pPr>
      <w:rPr>
        <w:rFonts w:hint="default"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7D81346"/>
    <w:multiLevelType w:val="hybridMultilevel"/>
    <w:tmpl w:val="1F86A620"/>
    <w:lvl w:ilvl="0" w:tplc="0809000D">
      <w:start w:val="1"/>
      <w:numFmt w:val="bullet"/>
      <w:lvlText w:val=""/>
      <w:lvlJc w:val="left"/>
      <w:pPr>
        <w:ind w:left="777" w:hanging="360"/>
      </w:pPr>
      <w:rPr>
        <w:rFonts w:hint="default" w:ascii="Wingdings" w:hAnsi="Wingdings"/>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6F974939"/>
    <w:multiLevelType w:val="hybridMultilevel"/>
    <w:tmpl w:val="8508ECA6"/>
    <w:lvl w:ilvl="0" w:tplc="9D0C57E4">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DDC3F83"/>
    <w:multiLevelType w:val="hybridMultilevel"/>
    <w:tmpl w:val="836675D2"/>
    <w:lvl w:ilvl="0" w:tplc="9D0C57E4">
      <w:start w:val="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4711259">
    <w:abstractNumId w:val="9"/>
  </w:num>
  <w:num w:numId="2" w16cid:durableId="1628730595">
    <w:abstractNumId w:val="7"/>
  </w:num>
  <w:num w:numId="3" w16cid:durableId="497188144">
    <w:abstractNumId w:val="10"/>
  </w:num>
  <w:num w:numId="4" w16cid:durableId="1138914232">
    <w:abstractNumId w:val="11"/>
  </w:num>
  <w:num w:numId="5" w16cid:durableId="857932188">
    <w:abstractNumId w:val="3"/>
  </w:num>
  <w:num w:numId="6" w16cid:durableId="798501009">
    <w:abstractNumId w:val="12"/>
  </w:num>
  <w:num w:numId="7" w16cid:durableId="1210847263">
    <w:abstractNumId w:val="18"/>
  </w:num>
  <w:num w:numId="8" w16cid:durableId="982348153">
    <w:abstractNumId w:val="23"/>
  </w:num>
  <w:num w:numId="9" w16cid:durableId="1529290868">
    <w:abstractNumId w:val="21"/>
  </w:num>
  <w:num w:numId="10" w16cid:durableId="1171066271">
    <w:abstractNumId w:val="19"/>
  </w:num>
  <w:num w:numId="11" w16cid:durableId="1453552857">
    <w:abstractNumId w:val="8"/>
  </w:num>
  <w:num w:numId="12" w16cid:durableId="1812097430">
    <w:abstractNumId w:val="22"/>
  </w:num>
  <w:num w:numId="13" w16cid:durableId="42288650">
    <w:abstractNumId w:val="16"/>
  </w:num>
  <w:num w:numId="14" w16cid:durableId="1721712531">
    <w:abstractNumId w:val="13"/>
  </w:num>
  <w:num w:numId="15" w16cid:durableId="1235432793">
    <w:abstractNumId w:val="6"/>
  </w:num>
  <w:num w:numId="16" w16cid:durableId="884678859">
    <w:abstractNumId w:val="4"/>
  </w:num>
  <w:num w:numId="17" w16cid:durableId="826165421">
    <w:abstractNumId w:val="14"/>
  </w:num>
  <w:num w:numId="18" w16cid:durableId="192228718">
    <w:abstractNumId w:val="2"/>
  </w:num>
  <w:num w:numId="19" w16cid:durableId="1141658649">
    <w:abstractNumId w:val="0"/>
  </w:num>
  <w:num w:numId="20" w16cid:durableId="1246568152">
    <w:abstractNumId w:val="20"/>
  </w:num>
  <w:num w:numId="21" w16cid:durableId="1152603701">
    <w:abstractNumId w:val="24"/>
  </w:num>
  <w:num w:numId="22" w16cid:durableId="336467799">
    <w:abstractNumId w:val="5"/>
  </w:num>
  <w:num w:numId="23" w16cid:durableId="650213413">
    <w:abstractNumId w:val="1"/>
  </w:num>
  <w:num w:numId="24" w16cid:durableId="575631579">
    <w:abstractNumId w:val="15"/>
  </w:num>
  <w:num w:numId="25" w16cid:durableId="2107000415">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4CE6"/>
    <w:rsid w:val="000452EB"/>
    <w:rsid w:val="00045603"/>
    <w:rsid w:val="000463AE"/>
    <w:rsid w:val="000507A3"/>
    <w:rsid w:val="00055A21"/>
    <w:rsid w:val="00060A62"/>
    <w:rsid w:val="00064366"/>
    <w:rsid w:val="00066B73"/>
    <w:rsid w:val="00071481"/>
    <w:rsid w:val="00071D77"/>
    <w:rsid w:val="00075FAE"/>
    <w:rsid w:val="00082F38"/>
    <w:rsid w:val="000837DB"/>
    <w:rsid w:val="0008384B"/>
    <w:rsid w:val="000929EC"/>
    <w:rsid w:val="00093CDE"/>
    <w:rsid w:val="0009602C"/>
    <w:rsid w:val="000A028D"/>
    <w:rsid w:val="000A5C58"/>
    <w:rsid w:val="000A6379"/>
    <w:rsid w:val="000B0D49"/>
    <w:rsid w:val="000B203E"/>
    <w:rsid w:val="000B411C"/>
    <w:rsid w:val="000D22B0"/>
    <w:rsid w:val="000D318D"/>
    <w:rsid w:val="000D35C9"/>
    <w:rsid w:val="000D520C"/>
    <w:rsid w:val="000D6596"/>
    <w:rsid w:val="000D6779"/>
    <w:rsid w:val="000E6DF0"/>
    <w:rsid w:val="000F3B33"/>
    <w:rsid w:val="001037CB"/>
    <w:rsid w:val="0010629E"/>
    <w:rsid w:val="00114288"/>
    <w:rsid w:val="00115538"/>
    <w:rsid w:val="00116FA8"/>
    <w:rsid w:val="00120AB1"/>
    <w:rsid w:val="00123A7F"/>
    <w:rsid w:val="001278D0"/>
    <w:rsid w:val="00127F72"/>
    <w:rsid w:val="00140646"/>
    <w:rsid w:val="00142780"/>
    <w:rsid w:val="0014409B"/>
    <w:rsid w:val="00147A4B"/>
    <w:rsid w:val="001513EF"/>
    <w:rsid w:val="00152554"/>
    <w:rsid w:val="00155944"/>
    <w:rsid w:val="001559D7"/>
    <w:rsid w:val="00157D20"/>
    <w:rsid w:val="00160CF5"/>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D7187"/>
    <w:rsid w:val="001E0ECA"/>
    <w:rsid w:val="001E206F"/>
    <w:rsid w:val="001E5750"/>
    <w:rsid w:val="001E66BA"/>
    <w:rsid w:val="001E7739"/>
    <w:rsid w:val="001F3DB4"/>
    <w:rsid w:val="001F3EEE"/>
    <w:rsid w:val="001F7564"/>
    <w:rsid w:val="001F7848"/>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09AF"/>
    <w:rsid w:val="00266FA5"/>
    <w:rsid w:val="00276FBA"/>
    <w:rsid w:val="00277665"/>
    <w:rsid w:val="002805DC"/>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6530"/>
    <w:rsid w:val="00317664"/>
    <w:rsid w:val="003239D1"/>
    <w:rsid w:val="00336200"/>
    <w:rsid w:val="00337418"/>
    <w:rsid w:val="00351D83"/>
    <w:rsid w:val="00352197"/>
    <w:rsid w:val="00353E46"/>
    <w:rsid w:val="003576C4"/>
    <w:rsid w:val="0036277A"/>
    <w:rsid w:val="00366AB0"/>
    <w:rsid w:val="003700E8"/>
    <w:rsid w:val="0037437C"/>
    <w:rsid w:val="00380FEE"/>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D6D66"/>
    <w:rsid w:val="003E054C"/>
    <w:rsid w:val="003E1EC5"/>
    <w:rsid w:val="003E27A0"/>
    <w:rsid w:val="003E3449"/>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6DCE"/>
    <w:rsid w:val="00457E36"/>
    <w:rsid w:val="00460BD3"/>
    <w:rsid w:val="00462F8F"/>
    <w:rsid w:val="00463BCA"/>
    <w:rsid w:val="004708F2"/>
    <w:rsid w:val="004724DE"/>
    <w:rsid w:val="00472ABD"/>
    <w:rsid w:val="004770FE"/>
    <w:rsid w:val="0048157F"/>
    <w:rsid w:val="00481D56"/>
    <w:rsid w:val="00490408"/>
    <w:rsid w:val="004A4C45"/>
    <w:rsid w:val="004A55C4"/>
    <w:rsid w:val="004B0485"/>
    <w:rsid w:val="004B0ED7"/>
    <w:rsid w:val="004B1F58"/>
    <w:rsid w:val="004B428E"/>
    <w:rsid w:val="004B4D0A"/>
    <w:rsid w:val="004B4D37"/>
    <w:rsid w:val="004C42F0"/>
    <w:rsid w:val="004D3158"/>
    <w:rsid w:val="004D50C8"/>
    <w:rsid w:val="004D6B72"/>
    <w:rsid w:val="004E1D73"/>
    <w:rsid w:val="004E5450"/>
    <w:rsid w:val="004E57C3"/>
    <w:rsid w:val="004E72DD"/>
    <w:rsid w:val="004F22CD"/>
    <w:rsid w:val="004F67A3"/>
    <w:rsid w:val="005003A6"/>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16E8"/>
    <w:rsid w:val="0058313F"/>
    <w:rsid w:val="00585859"/>
    <w:rsid w:val="00586FBC"/>
    <w:rsid w:val="005879C9"/>
    <w:rsid w:val="00594CAD"/>
    <w:rsid w:val="005A1D0B"/>
    <w:rsid w:val="005A316E"/>
    <w:rsid w:val="005A3C6B"/>
    <w:rsid w:val="005B082F"/>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055D"/>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2E8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253"/>
    <w:rsid w:val="00724594"/>
    <w:rsid w:val="00724FA7"/>
    <w:rsid w:val="00725415"/>
    <w:rsid w:val="007260C6"/>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650E"/>
    <w:rsid w:val="007677B8"/>
    <w:rsid w:val="00781713"/>
    <w:rsid w:val="00785285"/>
    <w:rsid w:val="0078529D"/>
    <w:rsid w:val="00785E77"/>
    <w:rsid w:val="0078720B"/>
    <w:rsid w:val="00787DC1"/>
    <w:rsid w:val="00791E43"/>
    <w:rsid w:val="00794070"/>
    <w:rsid w:val="0079419D"/>
    <w:rsid w:val="007A63CA"/>
    <w:rsid w:val="007A713B"/>
    <w:rsid w:val="007A7DA0"/>
    <w:rsid w:val="007B64E5"/>
    <w:rsid w:val="007C0C77"/>
    <w:rsid w:val="007C2F04"/>
    <w:rsid w:val="007C40C6"/>
    <w:rsid w:val="007F06E5"/>
    <w:rsid w:val="007F5B8B"/>
    <w:rsid w:val="00805BC0"/>
    <w:rsid w:val="00814FB9"/>
    <w:rsid w:val="00817E9A"/>
    <w:rsid w:val="008212EC"/>
    <w:rsid w:val="00827786"/>
    <w:rsid w:val="00827BDA"/>
    <w:rsid w:val="00830D57"/>
    <w:rsid w:val="00831F00"/>
    <w:rsid w:val="00850CA0"/>
    <w:rsid w:val="0085221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D64B8"/>
    <w:rsid w:val="008E000B"/>
    <w:rsid w:val="008E2926"/>
    <w:rsid w:val="008E35C6"/>
    <w:rsid w:val="008E3F49"/>
    <w:rsid w:val="008E7FBC"/>
    <w:rsid w:val="008F243B"/>
    <w:rsid w:val="008F4675"/>
    <w:rsid w:val="008F50FE"/>
    <w:rsid w:val="008F69CD"/>
    <w:rsid w:val="008F6E88"/>
    <w:rsid w:val="00901E60"/>
    <w:rsid w:val="00904A66"/>
    <w:rsid w:val="00905029"/>
    <w:rsid w:val="00910719"/>
    <w:rsid w:val="00921A3A"/>
    <w:rsid w:val="0092287F"/>
    <w:rsid w:val="0092495B"/>
    <w:rsid w:val="0092660E"/>
    <w:rsid w:val="009301AD"/>
    <w:rsid w:val="00936519"/>
    <w:rsid w:val="009413AA"/>
    <w:rsid w:val="00941DA3"/>
    <w:rsid w:val="00942C0C"/>
    <w:rsid w:val="00951711"/>
    <w:rsid w:val="009539E3"/>
    <w:rsid w:val="00954083"/>
    <w:rsid w:val="00954A5E"/>
    <w:rsid w:val="009551B2"/>
    <w:rsid w:val="0096022C"/>
    <w:rsid w:val="009619B1"/>
    <w:rsid w:val="00964625"/>
    <w:rsid w:val="00965B57"/>
    <w:rsid w:val="00974C35"/>
    <w:rsid w:val="00980937"/>
    <w:rsid w:val="00981C1D"/>
    <w:rsid w:val="009832B9"/>
    <w:rsid w:val="0098532B"/>
    <w:rsid w:val="00987493"/>
    <w:rsid w:val="0099109C"/>
    <w:rsid w:val="009936DB"/>
    <w:rsid w:val="00993CFC"/>
    <w:rsid w:val="009A1DC2"/>
    <w:rsid w:val="009A2751"/>
    <w:rsid w:val="009A2F24"/>
    <w:rsid w:val="009A5EEA"/>
    <w:rsid w:val="009B0906"/>
    <w:rsid w:val="009B38F2"/>
    <w:rsid w:val="009B7433"/>
    <w:rsid w:val="009B7A7D"/>
    <w:rsid w:val="009C0914"/>
    <w:rsid w:val="009C27E5"/>
    <w:rsid w:val="009C7DA7"/>
    <w:rsid w:val="009D24A1"/>
    <w:rsid w:val="009D3891"/>
    <w:rsid w:val="009D71E8"/>
    <w:rsid w:val="009E0CF5"/>
    <w:rsid w:val="009E104B"/>
    <w:rsid w:val="009E7DE4"/>
    <w:rsid w:val="009F011B"/>
    <w:rsid w:val="009F3BBD"/>
    <w:rsid w:val="00A022AB"/>
    <w:rsid w:val="00A04463"/>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60A1"/>
    <w:rsid w:val="00A8712A"/>
    <w:rsid w:val="00A95F75"/>
    <w:rsid w:val="00A968DA"/>
    <w:rsid w:val="00A96B83"/>
    <w:rsid w:val="00A978A6"/>
    <w:rsid w:val="00AA355B"/>
    <w:rsid w:val="00AA42E5"/>
    <w:rsid w:val="00AA77BE"/>
    <w:rsid w:val="00AB24FA"/>
    <w:rsid w:val="00AB5161"/>
    <w:rsid w:val="00AD7B5A"/>
    <w:rsid w:val="00AE229F"/>
    <w:rsid w:val="00AF0618"/>
    <w:rsid w:val="00AF5E20"/>
    <w:rsid w:val="00B002FA"/>
    <w:rsid w:val="00B00327"/>
    <w:rsid w:val="00B024B3"/>
    <w:rsid w:val="00B108BF"/>
    <w:rsid w:val="00B11DE8"/>
    <w:rsid w:val="00B179ED"/>
    <w:rsid w:val="00B20E18"/>
    <w:rsid w:val="00B331E1"/>
    <w:rsid w:val="00B407C9"/>
    <w:rsid w:val="00B4532A"/>
    <w:rsid w:val="00B47C66"/>
    <w:rsid w:val="00B513A1"/>
    <w:rsid w:val="00B5651F"/>
    <w:rsid w:val="00B572C4"/>
    <w:rsid w:val="00B60858"/>
    <w:rsid w:val="00B60D69"/>
    <w:rsid w:val="00B6234E"/>
    <w:rsid w:val="00B74D4E"/>
    <w:rsid w:val="00B80219"/>
    <w:rsid w:val="00B832B4"/>
    <w:rsid w:val="00B87184"/>
    <w:rsid w:val="00B91453"/>
    <w:rsid w:val="00B9488E"/>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85434"/>
    <w:rsid w:val="00C86B2C"/>
    <w:rsid w:val="00C97A7F"/>
    <w:rsid w:val="00CA4421"/>
    <w:rsid w:val="00CA4B91"/>
    <w:rsid w:val="00CA5363"/>
    <w:rsid w:val="00CA7D07"/>
    <w:rsid w:val="00CB24A4"/>
    <w:rsid w:val="00CB48AB"/>
    <w:rsid w:val="00CB5B17"/>
    <w:rsid w:val="00CB6AA0"/>
    <w:rsid w:val="00CC4443"/>
    <w:rsid w:val="00CC576E"/>
    <w:rsid w:val="00CC5B96"/>
    <w:rsid w:val="00CC5CAF"/>
    <w:rsid w:val="00CD7B4A"/>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37F8F"/>
    <w:rsid w:val="00D40C16"/>
    <w:rsid w:val="00D43A15"/>
    <w:rsid w:val="00D4463C"/>
    <w:rsid w:val="00D46182"/>
    <w:rsid w:val="00D46C7D"/>
    <w:rsid w:val="00D501EE"/>
    <w:rsid w:val="00D517DC"/>
    <w:rsid w:val="00D5360D"/>
    <w:rsid w:val="00D54BF6"/>
    <w:rsid w:val="00D5590D"/>
    <w:rsid w:val="00D618E4"/>
    <w:rsid w:val="00D61DA5"/>
    <w:rsid w:val="00D642A3"/>
    <w:rsid w:val="00D71B8A"/>
    <w:rsid w:val="00D72C08"/>
    <w:rsid w:val="00D75247"/>
    <w:rsid w:val="00D81325"/>
    <w:rsid w:val="00D875ED"/>
    <w:rsid w:val="00D877D0"/>
    <w:rsid w:val="00D90013"/>
    <w:rsid w:val="00D91B9C"/>
    <w:rsid w:val="00D9257F"/>
    <w:rsid w:val="00D92C1B"/>
    <w:rsid w:val="00D94CC7"/>
    <w:rsid w:val="00D97901"/>
    <w:rsid w:val="00DA1A18"/>
    <w:rsid w:val="00DA1AF4"/>
    <w:rsid w:val="00DB0C60"/>
    <w:rsid w:val="00DC1212"/>
    <w:rsid w:val="00DC641A"/>
    <w:rsid w:val="00DD21A1"/>
    <w:rsid w:val="00DD68FB"/>
    <w:rsid w:val="00DD6B7D"/>
    <w:rsid w:val="00DD6E14"/>
    <w:rsid w:val="00DE15AC"/>
    <w:rsid w:val="00DF2015"/>
    <w:rsid w:val="00E061EC"/>
    <w:rsid w:val="00E0696B"/>
    <w:rsid w:val="00E10E81"/>
    <w:rsid w:val="00E13E51"/>
    <w:rsid w:val="00E21F56"/>
    <w:rsid w:val="00E3014F"/>
    <w:rsid w:val="00E34180"/>
    <w:rsid w:val="00E4286E"/>
    <w:rsid w:val="00E43EAD"/>
    <w:rsid w:val="00E62DCB"/>
    <w:rsid w:val="00E63541"/>
    <w:rsid w:val="00E651DD"/>
    <w:rsid w:val="00E66558"/>
    <w:rsid w:val="00E70D81"/>
    <w:rsid w:val="00E726A6"/>
    <w:rsid w:val="00E73418"/>
    <w:rsid w:val="00E8109E"/>
    <w:rsid w:val="00E85C23"/>
    <w:rsid w:val="00E86F05"/>
    <w:rsid w:val="00EA3A2A"/>
    <w:rsid w:val="00EA6B46"/>
    <w:rsid w:val="00EB4556"/>
    <w:rsid w:val="00EB4A11"/>
    <w:rsid w:val="00EB64C8"/>
    <w:rsid w:val="00EC1ECE"/>
    <w:rsid w:val="00EC2FEC"/>
    <w:rsid w:val="00ED0A30"/>
    <w:rsid w:val="00ED4136"/>
    <w:rsid w:val="00ED5108"/>
    <w:rsid w:val="00ED6AE8"/>
    <w:rsid w:val="00EE291B"/>
    <w:rsid w:val="00EE2CB2"/>
    <w:rsid w:val="00EF485B"/>
    <w:rsid w:val="00EF5A6B"/>
    <w:rsid w:val="00F012CA"/>
    <w:rsid w:val="00F01752"/>
    <w:rsid w:val="00F017D2"/>
    <w:rsid w:val="00F0355A"/>
    <w:rsid w:val="00F05C44"/>
    <w:rsid w:val="00F11C4C"/>
    <w:rsid w:val="00F155DB"/>
    <w:rsid w:val="00F15753"/>
    <w:rsid w:val="00F21F92"/>
    <w:rsid w:val="00F24A7E"/>
    <w:rsid w:val="00F32ABA"/>
    <w:rsid w:val="00F33DC0"/>
    <w:rsid w:val="00F33F28"/>
    <w:rsid w:val="00F33FA7"/>
    <w:rsid w:val="00F35A40"/>
    <w:rsid w:val="00F35FDE"/>
    <w:rsid w:val="00F40DE1"/>
    <w:rsid w:val="00F4142A"/>
    <w:rsid w:val="00F41735"/>
    <w:rsid w:val="00F54FCB"/>
    <w:rsid w:val="00F62587"/>
    <w:rsid w:val="00F631A6"/>
    <w:rsid w:val="00F63E9E"/>
    <w:rsid w:val="00F63FEA"/>
    <w:rsid w:val="00F66AA7"/>
    <w:rsid w:val="00F707FE"/>
    <w:rsid w:val="00F75603"/>
    <w:rsid w:val="00F76843"/>
    <w:rsid w:val="00F776E1"/>
    <w:rsid w:val="00F77E8D"/>
    <w:rsid w:val="00F803AD"/>
    <w:rsid w:val="00F925EB"/>
    <w:rsid w:val="00F97033"/>
    <w:rsid w:val="00FA0A06"/>
    <w:rsid w:val="00FA6DD0"/>
    <w:rsid w:val="00FB59B7"/>
    <w:rsid w:val="00FC28DF"/>
    <w:rsid w:val="00FD1780"/>
    <w:rsid w:val="00FD2297"/>
    <w:rsid w:val="00FD406D"/>
    <w:rsid w:val="00FD6048"/>
    <w:rsid w:val="00FD6AC6"/>
    <w:rsid w:val="00FE3136"/>
    <w:rsid w:val="00FE433C"/>
    <w:rsid w:val="00FE50A3"/>
    <w:rsid w:val="00FE5204"/>
    <w:rsid w:val="00FE604C"/>
    <w:rsid w:val="00FF2000"/>
    <w:rsid w:val="00FF369D"/>
    <w:rsid w:val="00FF6CA3"/>
    <w:rsid w:val="00FF6FB0"/>
    <w:rsid w:val="00FF79A8"/>
    <w:rsid w:val="042AED08"/>
    <w:rsid w:val="05B6D577"/>
    <w:rsid w:val="069AA0E3"/>
    <w:rsid w:val="07FFD3D3"/>
    <w:rsid w:val="0B240EAF"/>
    <w:rsid w:val="13173609"/>
    <w:rsid w:val="15511BA4"/>
    <w:rsid w:val="1963F5CB"/>
    <w:rsid w:val="1A172959"/>
    <w:rsid w:val="1CBF4D92"/>
    <w:rsid w:val="2424D253"/>
    <w:rsid w:val="2497129E"/>
    <w:rsid w:val="2860AB8E"/>
    <w:rsid w:val="29D3B3F1"/>
    <w:rsid w:val="2DFB47DC"/>
    <w:rsid w:val="2FA48D0F"/>
    <w:rsid w:val="2FFB967E"/>
    <w:rsid w:val="31CC4DD9"/>
    <w:rsid w:val="3455EC58"/>
    <w:rsid w:val="35202441"/>
    <w:rsid w:val="380BAE89"/>
    <w:rsid w:val="3A3F1ACF"/>
    <w:rsid w:val="3BE13FA2"/>
    <w:rsid w:val="3C5A6419"/>
    <w:rsid w:val="3DE32E75"/>
    <w:rsid w:val="3EA4202B"/>
    <w:rsid w:val="407F390E"/>
    <w:rsid w:val="418407A1"/>
    <w:rsid w:val="42EC6719"/>
    <w:rsid w:val="45315A84"/>
    <w:rsid w:val="491E3A64"/>
    <w:rsid w:val="4A039BCC"/>
    <w:rsid w:val="4BF69EA0"/>
    <w:rsid w:val="4F51CC4C"/>
    <w:rsid w:val="4FA8DA1E"/>
    <w:rsid w:val="51D94AEB"/>
    <w:rsid w:val="542D4762"/>
    <w:rsid w:val="57014D87"/>
    <w:rsid w:val="5726C435"/>
    <w:rsid w:val="5C40C457"/>
    <w:rsid w:val="5F3A7B6B"/>
    <w:rsid w:val="6062A14E"/>
    <w:rsid w:val="617B4808"/>
    <w:rsid w:val="625D1A15"/>
    <w:rsid w:val="66D787C9"/>
    <w:rsid w:val="68E2B359"/>
    <w:rsid w:val="6948C1C2"/>
    <w:rsid w:val="6D28B1AF"/>
    <w:rsid w:val="6D616F43"/>
    <w:rsid w:val="6EB73EE5"/>
    <w:rsid w:val="709C33EC"/>
    <w:rsid w:val="714F00DC"/>
    <w:rsid w:val="7E3FD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ui-provider" w:customStyle="1">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educationendowmentfoundation.org.uk/education-evidence/using-pupil-premium"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assets.publishing.service.gov.uk/media/65cf69384239310011b7b91f/Using_Pupil_Premium_-_Guidance_for_School_Leaders.pdf"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educationendowmentfoundation.org.uk/education-evidence/using-pupil-premium" TargetMode="External" Id="rId10" /><Relationship Type="http://schemas.openxmlformats.org/officeDocument/2006/relationships/settings" Target="settings.xml" Id="rId4" /><Relationship Type="http://schemas.openxmlformats.org/officeDocument/2006/relationships/hyperlink" Target="https://assets.publishing.service.gov.uk/media/65cf69384239310011b7b91f/Using_Pupil_Premium_-_Guidance_for_School_Leaders.pdf"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FCB6D-C411-4F68-B5CE-8731F9B93E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Department for Education</dc:creator>
  <keywords/>
  <dc:description/>
  <lastModifiedBy>Emma Davies</lastModifiedBy>
  <revision>8</revision>
  <lastPrinted>2025-12-19T13:57:00.0000000Z</lastPrinted>
  <dcterms:created xsi:type="dcterms:W3CDTF">2025-12-19T13:56:00.0000000Z</dcterms:created>
  <dcterms:modified xsi:type="dcterms:W3CDTF">2026-02-06T09:45:22.1862609Z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